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267970</wp:posOffset>
            </wp:positionH>
            <wp:positionV relativeFrom="page">
              <wp:posOffset>568960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534670</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fiscal year ended December 31, 2024</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5" w:lineRule="exact"/>
        <w:rPr>
          <w:sz w:val="24"/>
          <w:szCs w:val="24"/>
          <w:color w:val="auto"/>
        </w:rPr>
      </w:pPr>
    </w:p>
    <w:p>
      <w:pPr>
        <w:ind w:left="640" w:right="100" w:hanging="601"/>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3" w:lineRule="exact"/>
        <w:rPr>
          <w:sz w:val="24"/>
          <w:szCs w:val="24"/>
          <w:color w:val="auto"/>
        </w:rPr>
      </w:pPr>
    </w:p>
    <w:p>
      <w:pPr>
        <w:ind w:left="35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9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(Commission File Number) 001-39317</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ON SEMICONDUCTOR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9" w:lineRule="exact"/>
        <w:rPr>
          <w:sz w:val="24"/>
          <w:szCs w:val="24"/>
          <w:color w:val="auto"/>
        </w:rPr>
      </w:pPr>
    </w:p>
    <w:tbl>
      <w:tblPr>
        <w:tblLayout w:type="fixed"/>
        <w:tblInd w:w="1760" w:type="dxa"/>
        <w:tblCellMar>
          <w:top w:w="0" w:type="dxa"/>
          <w:left w:w="0" w:type="dxa"/>
          <w:bottom w:w="0" w:type="dxa"/>
          <w:right w:w="0" w:type="dxa"/>
        </w:tblCellMar>
      </w:tblPr>
      <w:tr>
        <w:trPr>
          <w:trHeight w:val="227"/>
        </w:trPr>
        <w:tc>
          <w:tcPr>
            <w:tcW w:w="4040" w:type="dxa"/>
            <w:vAlign w:val="bottom"/>
          </w:tcPr>
          <w:p>
            <w:pPr>
              <w:jc w:val="center"/>
              <w:ind w:right="20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00" w:type="dxa"/>
            <w:vAlign w:val="bottom"/>
          </w:tcPr>
          <w:p>
            <w:pPr>
              <w:jc w:val="center"/>
              <w:ind w:left="2082"/>
              <w:spacing w:after="0"/>
              <w:rPr>
                <w:sz w:val="20"/>
                <w:szCs w:val="20"/>
                <w:color w:val="auto"/>
              </w:rPr>
            </w:pPr>
            <w:r>
              <w:rPr>
                <w:rFonts w:ascii="Times New Roman" w:cs="Times New Roman" w:eastAsia="Times New Roman" w:hAnsi="Times New Roman"/>
                <w:sz w:val="18"/>
                <w:szCs w:val="18"/>
                <w:b w:val="1"/>
                <w:bCs w:val="1"/>
                <w:color w:val="auto"/>
                <w:w w:val="98"/>
              </w:rPr>
              <w:t>36-3840979</w:t>
            </w:r>
          </w:p>
        </w:tc>
      </w:tr>
      <w:tr>
        <w:trPr>
          <w:trHeight w:val="146"/>
        </w:trPr>
        <w:tc>
          <w:tcPr>
            <w:tcW w:w="4040" w:type="dxa"/>
            <w:vAlign w:val="bottom"/>
          </w:tcPr>
          <w:p>
            <w:pPr>
              <w:jc w:val="center"/>
              <w:ind w:right="208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00" w:type="dxa"/>
            <w:vAlign w:val="bottom"/>
          </w:tcPr>
          <w:p>
            <w:pPr>
              <w:jc w:val="center"/>
              <w:ind w:left="21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0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00" w:type="dxa"/>
            <w:vAlign w:val="bottom"/>
          </w:tcPr>
          <w:p>
            <w:pPr>
              <w:jc w:val="center"/>
              <w:ind w:left="20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5701 N. Pima Road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Scottsdale, AZ 85250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(602) 244-6600</w:t>
      </w:r>
    </w:p>
    <w:p>
      <w:pPr>
        <w:spacing w:after="0" w:line="2"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4"/>
          <w:szCs w:val="14"/>
          <w:b w:val="1"/>
          <w:bCs w:val="1"/>
          <w:color w:val="auto"/>
        </w:rPr>
        <w:t>(Address, zip code and telephone number, including area code, of principal executive offices)</w:t>
      </w:r>
    </w:p>
    <w:p>
      <w:pPr>
        <w:spacing w:after="0" w:line="4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205"/>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ON</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4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1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11" w:lineRule="exact"/>
        <w:rPr>
          <w:sz w:val="24"/>
          <w:szCs w:val="24"/>
          <w:color w:val="auto"/>
        </w:rPr>
      </w:pPr>
    </w:p>
    <w:p>
      <w:pPr>
        <w:ind w:right="4380"/>
        <w:spacing w:after="0" w:line="170"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jc w:val="both"/>
        <w:ind w:right="20"/>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jc w:val="both"/>
        <w:ind w:right="2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ind w:right="40"/>
        <w:spacing w:after="0" w:line="23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8"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2220"/>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Accelerated filer</w:t>
            </w:r>
          </w:p>
        </w:tc>
        <w:tc>
          <w:tcPr>
            <w:tcW w:w="14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2220"/>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4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4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1" w:lineRule="exact"/>
        <w:rPr>
          <w:sz w:val="24"/>
          <w:szCs w:val="24"/>
          <w:color w:val="auto"/>
        </w:rPr>
      </w:pPr>
    </w:p>
    <w:p>
      <w:pPr>
        <w:jc w:val="both"/>
        <w:ind w:right="20"/>
        <w:spacing w:after="0" w:line="156" w:lineRule="exact"/>
        <w:rPr>
          <w:sz w:val="20"/>
          <w:szCs w:val="20"/>
          <w:color w:val="auto"/>
        </w:rPr>
      </w:pPr>
      <w:r>
        <w:rPr>
          <w:rFonts w:ascii="Times New Roman" w:cs="Times New Roman" w:eastAsia="Times New Roman" w:hAnsi="Times New Roman"/>
          <w:sz w:val="13"/>
          <w:szCs w:val="13"/>
          <w:color w:val="auto"/>
        </w:rPr>
        <w:t xml:space="preserve">If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jc w:val="both"/>
        <w:ind w:right="40"/>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jc w:val="both"/>
        <w:ind w:right="20"/>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jc w:val="both"/>
        <w:ind w:right="20"/>
        <w:spacing w:after="0" w:line="14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5840" w:val="left"/>
          <w:tab w:leader="none" w:pos="63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7" w:lineRule="exact"/>
        <w:rPr>
          <w:sz w:val="24"/>
          <w:szCs w:val="24"/>
          <w:color w:val="auto"/>
        </w:rPr>
      </w:pPr>
    </w:p>
    <w:p>
      <w:pPr>
        <w:jc w:val="both"/>
        <w:ind w:right="20"/>
        <w:spacing w:after="0" w:line="238"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was $29,264,164,935 as of June 28, 2024, based on the closing sales price of such stock on the Nasdaq Global Select Market. Shares held by executive officers, directors and persons owning directly or indirectly more than 10% of the outstanding common stock (as applicable) have been excluded from the preceding number because such persons may be deemed to be affiliates of the registrant.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registrant's common stock outstanding at February 5, 2025 was 421,421,127.</w:t>
      </w:r>
    </w:p>
    <w:p>
      <w:pPr>
        <w:spacing w:after="0" w:line="226"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58" w:lineRule="exact"/>
        <w:rPr>
          <w:sz w:val="24"/>
          <w:szCs w:val="24"/>
          <w:color w:val="auto"/>
        </w:rPr>
      </w:pPr>
    </w:p>
    <w:p>
      <w:pPr>
        <w:jc w:val="both"/>
        <w:ind w:right="20"/>
        <w:spacing w:after="0" w:line="262"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2025 Annual Meeting of Stockholders, which is expected to be filed pursuant to Regulation 14A within 120 days after the registrant's fiscal year ended December 31, 2024, are incorporated by reference into Part III of this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012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ectPr>
          <w:pgSz w:w="11900" w:h="16838" w:orient="portrait"/>
          <w:cols w:equalWidth="0" w:num="1">
            <w:col w:w="11260"/>
          </w:cols>
          <w:pgMar w:left="320" w:top="1078"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78"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68"/>
        </w:trPr>
        <w:tc>
          <w:tcPr>
            <w:tcW w:w="2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40" w:type="dxa"/>
            <w:vAlign w:val="bottom"/>
            <w:gridSpan w:val="14"/>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ON SEMICONDUCTOR CORPORATION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60" w:type="dxa"/>
            <w:vAlign w:val="bottom"/>
            <w:gridSpan w:val="9"/>
          </w:tcPr>
          <w:p>
            <w:pPr>
              <w:jc w:val="center"/>
              <w:ind w:right="40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20" w:type="dxa"/>
            <w:vAlign w:val="bottom"/>
            <w:gridSpan w:val="10"/>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1"/>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60" w:type="dxa"/>
            <w:vAlign w:val="bottom"/>
            <w:gridSpan w:val="8"/>
          </w:tcPr>
          <w:p>
            <w:pPr>
              <w:jc w:val="center"/>
              <w:ind w:right="456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220" w:type="dxa"/>
            <w:vAlign w:val="bottom"/>
          </w:tcPr>
          <w:p>
            <w:pPr>
              <w:spacing w:after="0"/>
              <w:rPr>
                <w:sz w:val="16"/>
                <w:szCs w:val="16"/>
                <w:color w:val="auto"/>
              </w:rPr>
            </w:pP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7"/>
              </w:rPr>
              <w:t>Item 1.</w:t>
            </w:r>
          </w:p>
        </w:tc>
        <w:tc>
          <w:tcPr>
            <w:tcW w:w="540" w:type="dxa"/>
            <w:vAlign w:val="bottom"/>
            <w:gridSpan w:val="4"/>
          </w:tcPr>
          <w:p>
            <w:pPr>
              <w:spacing w:after="0"/>
              <w:rPr>
                <w:sz w:val="16"/>
                <w:szCs w:val="16"/>
                <w:color w:val="auto"/>
              </w:rPr>
            </w:pPr>
          </w:p>
        </w:tc>
        <w:tc>
          <w:tcPr>
            <w:tcW w:w="914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20" w:type="dxa"/>
            <w:vAlign w:val="bottom"/>
            <w:gridSpan w:val="2"/>
          </w:tcPr>
          <w:p>
            <w:pPr>
              <w:jc w:val="center"/>
              <w:ind w:right="40"/>
              <w:spacing w:after="0" w:line="194" w:lineRule="exact"/>
              <w:rPr>
                <w:sz w:val="20"/>
                <w:szCs w:val="20"/>
                <w:color w:val="auto"/>
              </w:rPr>
            </w:pPr>
            <w:r>
              <w:rPr>
                <w:rFonts w:ascii="Times New Roman" w:cs="Times New Roman" w:eastAsia="Times New Roman" w:hAnsi="Times New Roman"/>
                <w:sz w:val="18"/>
                <w:szCs w:val="18"/>
                <w:color w:val="0000FF"/>
                <w:w w:val="88"/>
              </w:rPr>
              <w:t>5</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Overview</w:t>
            </w:r>
          </w:p>
        </w:tc>
        <w:tc>
          <w:tcPr>
            <w:tcW w:w="8440" w:type="dxa"/>
            <w:vAlign w:val="bottom"/>
            <w:gridSpan w:val="28"/>
          </w:tcPr>
          <w:p>
            <w:pPr>
              <w:spacing w:after="0"/>
              <w:rPr>
                <w:sz w:val="18"/>
                <w:szCs w:val="18"/>
                <w:color w:val="auto"/>
              </w:rPr>
            </w:pP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FF"/>
                <w:w w:val="88"/>
              </w:rPr>
              <w:t>5</w:t>
            </w: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Revenue Generating Activities</w:t>
            </w: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FF"/>
                <w:w w:val="88"/>
              </w:rPr>
              <w:t>7</w:t>
            </w: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0000FF"/>
                <w:w w:val="91"/>
              </w:rPr>
              <w:t>Markets</w:t>
            </w:r>
          </w:p>
        </w:tc>
        <w:tc>
          <w:tcPr>
            <w:tcW w:w="1620" w:type="dxa"/>
            <w:vAlign w:val="bottom"/>
            <w:gridSpan w:val="15"/>
          </w:tcPr>
          <w:p>
            <w:pPr>
              <w:spacing w:after="0"/>
              <w:rPr>
                <w:sz w:val="18"/>
                <w:szCs w:val="18"/>
                <w:color w:val="auto"/>
              </w:rPr>
            </w:pPr>
          </w:p>
        </w:tc>
        <w:tc>
          <w:tcPr>
            <w:tcW w:w="6940" w:type="dxa"/>
            <w:vAlign w:val="bottom"/>
            <w:gridSpan w:val="14"/>
          </w:tcPr>
          <w:p>
            <w:pPr>
              <w:spacing w:after="0"/>
              <w:rPr>
                <w:sz w:val="18"/>
                <w:szCs w:val="18"/>
                <w:color w:val="auto"/>
              </w:rPr>
            </w:pP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0000FF"/>
                <w:w w:val="88"/>
              </w:rPr>
              <w:t>8</w:t>
            </w: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Resources</w:t>
            </w:r>
          </w:p>
        </w:tc>
        <w:tc>
          <w:tcPr>
            <w:tcW w:w="8400" w:type="dxa"/>
            <w:vAlign w:val="bottom"/>
            <w:gridSpan w:val="26"/>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10</w:t>
            </w: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Seasonality</w:t>
            </w:r>
          </w:p>
        </w:tc>
        <w:tc>
          <w:tcPr>
            <w:tcW w:w="8320" w:type="dxa"/>
            <w:vAlign w:val="bottom"/>
            <w:gridSpan w:val="24"/>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12</w:t>
            </w: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Government Regulation</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12</w:t>
            </w: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Environmental, Social and Governance Initiatives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13</w:t>
            </w: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Human Capital Resources</w:t>
            </w:r>
          </w:p>
        </w:tc>
        <w:tc>
          <w:tcPr>
            <w:tcW w:w="5560" w:type="dxa"/>
            <w:vAlign w:val="bottom"/>
            <w:gridSpan w:val="9"/>
          </w:tcPr>
          <w:p>
            <w:pPr>
              <w:spacing w:after="0"/>
              <w:rPr>
                <w:sz w:val="18"/>
                <w:szCs w:val="18"/>
                <w:color w:val="auto"/>
              </w:rPr>
            </w:pPr>
          </w:p>
        </w:tc>
        <w:tc>
          <w:tcPr>
            <w:tcW w:w="12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13</w:t>
            </w:r>
          </w:p>
        </w:tc>
      </w:tr>
      <w:tr>
        <w:trPr>
          <w:trHeight w:val="20"/>
        </w:trPr>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Information about Our Executive Officers</w:t>
            </w:r>
          </w:p>
        </w:tc>
        <w:tc>
          <w:tcPr>
            <w:tcW w:w="6120" w:type="dxa"/>
            <w:vAlign w:val="bottom"/>
            <w:gridSpan w:val="12"/>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14</w:t>
            </w: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Available Information</w:t>
            </w:r>
          </w:p>
        </w:tc>
        <w:tc>
          <w:tcPr>
            <w:tcW w:w="7560" w:type="dxa"/>
            <w:vAlign w:val="bottom"/>
            <w:gridSpan w:val="19"/>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15</w:t>
            </w:r>
          </w:p>
        </w:tc>
      </w:tr>
      <w:tr>
        <w:trPr>
          <w:trHeight w:val="209"/>
        </w:trPr>
        <w:tc>
          <w:tcPr>
            <w:tcW w:w="220" w:type="dxa"/>
            <w:vAlign w:val="bottom"/>
          </w:tcPr>
          <w:p>
            <w:pPr>
              <w:spacing w:after="0"/>
              <w:rPr>
                <w:sz w:val="18"/>
                <w:szCs w:val="18"/>
                <w:color w:val="auto"/>
              </w:rPr>
            </w:pP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400" w:type="dxa"/>
            <w:vAlign w:val="bottom"/>
            <w:gridSpan w:val="2"/>
          </w:tcPr>
          <w:p>
            <w:pPr>
              <w:spacing w:after="0"/>
              <w:rPr>
                <w:sz w:val="18"/>
                <w:szCs w:val="18"/>
                <w:color w:val="auto"/>
              </w:rPr>
            </w:pPr>
          </w:p>
        </w:tc>
        <w:tc>
          <w:tcPr>
            <w:tcW w:w="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40" w:type="dxa"/>
            <w:vAlign w:val="bottom"/>
            <w:gridSpan w:val="23"/>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16</w:t>
            </w:r>
          </w:p>
        </w:tc>
      </w:tr>
      <w:tr>
        <w:trPr>
          <w:trHeight w:val="210"/>
        </w:trPr>
        <w:tc>
          <w:tcPr>
            <w:tcW w:w="22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460" w:type="dxa"/>
            <w:vAlign w:val="bottom"/>
            <w:gridSpan w:val="3"/>
          </w:tcPr>
          <w:p>
            <w:pPr>
              <w:spacing w:after="0"/>
              <w:rPr>
                <w:sz w:val="18"/>
                <w:szCs w:val="18"/>
                <w:color w:val="auto"/>
              </w:rPr>
            </w:pPr>
          </w:p>
        </w:tc>
        <w:tc>
          <w:tcPr>
            <w:tcW w:w="20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100" w:type="dxa"/>
            <w:vAlign w:val="bottom"/>
            <w:gridSpan w:val="15"/>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29</w:t>
            </w:r>
          </w:p>
        </w:tc>
      </w:tr>
      <w:tr>
        <w:trPr>
          <w:trHeight w:val="209"/>
        </w:trPr>
        <w:tc>
          <w:tcPr>
            <w:tcW w:w="22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1C.</w:t>
            </w:r>
          </w:p>
        </w:tc>
        <w:tc>
          <w:tcPr>
            <w:tcW w:w="300" w:type="dxa"/>
            <w:vAlign w:val="bottom"/>
          </w:tcPr>
          <w:p>
            <w:pPr>
              <w:spacing w:after="0"/>
              <w:rPr>
                <w:sz w:val="18"/>
                <w:szCs w:val="18"/>
                <w:color w:val="auto"/>
              </w:rPr>
            </w:pPr>
          </w:p>
        </w:tc>
        <w:tc>
          <w:tcPr>
            <w:tcW w:w="1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8140" w:type="dxa"/>
            <w:vAlign w:val="bottom"/>
            <w:gridSpan w:val="22"/>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29</w:t>
            </w:r>
          </w:p>
        </w:tc>
      </w:tr>
      <w:tr>
        <w:trPr>
          <w:trHeight w:val="209"/>
        </w:trPr>
        <w:tc>
          <w:tcPr>
            <w:tcW w:w="2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540" w:type="dxa"/>
            <w:vAlign w:val="bottom"/>
            <w:gridSpan w:val="4"/>
          </w:tcPr>
          <w:p>
            <w:pPr>
              <w:spacing w:after="0"/>
              <w:rPr>
                <w:sz w:val="18"/>
                <w:szCs w:val="18"/>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8420" w:type="dxa"/>
            <w:vAlign w:val="bottom"/>
            <w:gridSpan w:val="27"/>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40" w:type="dxa"/>
            <w:vAlign w:val="bottom"/>
            <w:gridSpan w:val="4"/>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40" w:type="dxa"/>
            <w:vAlign w:val="bottom"/>
            <w:gridSpan w:val="4"/>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r>
      <w:tr>
        <w:trPr>
          <w:trHeight w:val="245"/>
        </w:trPr>
        <w:tc>
          <w:tcPr>
            <w:tcW w:w="22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560" w:type="dxa"/>
            <w:vAlign w:val="bottom"/>
            <w:gridSpan w:val="9"/>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r>
      <w:tr>
        <w:trPr>
          <w:trHeight w:val="194"/>
        </w:trPr>
        <w:tc>
          <w:tcPr>
            <w:tcW w:w="220" w:type="dxa"/>
            <w:vAlign w:val="bottom"/>
          </w:tcPr>
          <w:p>
            <w:pPr>
              <w:spacing w:after="0"/>
              <w:rPr>
                <w:sz w:val="16"/>
                <w:szCs w:val="16"/>
                <w:color w:val="auto"/>
              </w:rPr>
            </w:pPr>
          </w:p>
        </w:tc>
        <w:tc>
          <w:tcPr>
            <w:tcW w:w="6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460" w:type="dxa"/>
            <w:vAlign w:val="bottom"/>
            <w:gridSpan w:val="3"/>
          </w:tcPr>
          <w:p>
            <w:pPr>
              <w:spacing w:after="0"/>
              <w:rPr>
                <w:sz w:val="16"/>
                <w:szCs w:val="16"/>
                <w:color w:val="auto"/>
              </w:rPr>
            </w:pPr>
          </w:p>
        </w:tc>
        <w:tc>
          <w:tcPr>
            <w:tcW w:w="914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7"/>
                <w:szCs w:val="17"/>
                <w:color w:val="0000FF"/>
                <w:w w:val="70"/>
              </w:rPr>
              <w:t>32</w:t>
            </w:r>
          </w:p>
        </w:tc>
      </w:tr>
      <w:tr>
        <w:trPr>
          <w:trHeight w:val="210"/>
        </w:trPr>
        <w:tc>
          <w:tcPr>
            <w:tcW w:w="2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0" w:type="dxa"/>
            <w:vAlign w:val="bottom"/>
            <w:tcBorders>
              <w:top w:val="single" w:sz="8" w:color="0000FF"/>
            </w:tcBorders>
          </w:tcPr>
          <w:p>
            <w:pPr>
              <w:spacing w:after="0"/>
              <w:rPr>
                <w:sz w:val="18"/>
                <w:szCs w:val="18"/>
                <w:color w:val="auto"/>
              </w:rPr>
            </w:pPr>
          </w:p>
        </w:tc>
        <w:tc>
          <w:tcPr>
            <w:tcW w:w="460" w:type="dxa"/>
            <w:vAlign w:val="bottom"/>
            <w:gridSpan w:val="3"/>
          </w:tcPr>
          <w:p>
            <w:pPr>
              <w:spacing w:after="0"/>
              <w:rPr>
                <w:sz w:val="18"/>
                <w:szCs w:val="18"/>
                <w:color w:val="auto"/>
              </w:rPr>
            </w:pPr>
          </w:p>
        </w:tc>
        <w:tc>
          <w:tcPr>
            <w:tcW w:w="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[Reserved]</w:t>
            </w:r>
          </w:p>
        </w:tc>
        <w:tc>
          <w:tcPr>
            <w:tcW w:w="7260" w:type="dxa"/>
            <w:vAlign w:val="bottom"/>
            <w:tcBorders>
              <w:top w:val="single" w:sz="8" w:color="0000FF"/>
            </w:tcBorders>
            <w:gridSpan w:val="24"/>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540" w:type="dxa"/>
            <w:vAlign w:val="bottom"/>
            <w:gridSpan w:val="4"/>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3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7A.</w:t>
            </w:r>
          </w:p>
        </w:tc>
        <w:tc>
          <w:tcPr>
            <w:tcW w:w="300" w:type="dxa"/>
            <w:vAlign w:val="bottom"/>
          </w:tcPr>
          <w:p>
            <w:pPr>
              <w:spacing w:after="0"/>
              <w:rPr>
                <w:sz w:val="18"/>
                <w:szCs w:val="18"/>
                <w:color w:val="auto"/>
              </w:rPr>
            </w:pPr>
          </w:p>
        </w:tc>
        <w:tc>
          <w:tcPr>
            <w:tcW w:w="43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40" w:type="dxa"/>
            <w:vAlign w:val="bottom"/>
            <w:gridSpan w:val="7"/>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43</w:t>
            </w:r>
          </w:p>
        </w:tc>
      </w:tr>
      <w:tr>
        <w:trPr>
          <w:trHeight w:val="210"/>
        </w:trPr>
        <w:tc>
          <w:tcPr>
            <w:tcW w:w="2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540" w:type="dxa"/>
            <w:vAlign w:val="bottom"/>
            <w:gridSpan w:val="4"/>
          </w:tcPr>
          <w:p>
            <w:pPr>
              <w:spacing w:after="0"/>
              <w:rPr>
                <w:sz w:val="18"/>
                <w:szCs w:val="18"/>
                <w:color w:val="auto"/>
              </w:rPr>
            </w:pPr>
          </w:p>
        </w:tc>
        <w:tc>
          <w:tcPr>
            <w:tcW w:w="3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820" w:type="dxa"/>
            <w:vAlign w:val="bottom"/>
            <w:gridSpan w:val="10"/>
          </w:tcPr>
          <w:p>
            <w:pPr>
              <w:spacing w:after="0"/>
              <w:rPr>
                <w:sz w:val="18"/>
                <w:szCs w:val="18"/>
                <w:color w:val="auto"/>
              </w:rPr>
            </w:pPr>
          </w:p>
        </w:tc>
        <w:tc>
          <w:tcPr>
            <w:tcW w:w="1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44</w:t>
            </w: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540" w:type="dxa"/>
            <w:vAlign w:val="bottom"/>
            <w:gridSpan w:val="4"/>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44</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3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9A</w:t>
            </w:r>
            <w:r>
              <w:rPr>
                <w:rFonts w:ascii="Times New Roman" w:cs="Times New Roman" w:eastAsia="Times New Roman" w:hAnsi="Times New Roman"/>
                <w:sz w:val="18"/>
                <w:szCs w:val="18"/>
                <w:color w:val="000000"/>
              </w:rPr>
              <w:t>.</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44</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3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460" w:type="dxa"/>
            <w:vAlign w:val="bottom"/>
            <w:gridSpan w:val="3"/>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45</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300" w:type="dxa"/>
            <w:vAlign w:val="bottom"/>
            <w:gridSpan w:val="9"/>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460" w:type="dxa"/>
            <w:vAlign w:val="bottom"/>
            <w:gridSpan w:val="3"/>
          </w:tcPr>
          <w:p>
            <w:pPr>
              <w:spacing w:after="0"/>
              <w:rPr>
                <w:sz w:val="18"/>
                <w:szCs w:val="18"/>
                <w:color w:val="auto"/>
              </w:rPr>
            </w:pP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45</w:t>
            </w:r>
          </w:p>
        </w:tc>
      </w:tr>
      <w:tr>
        <w:trPr>
          <w:trHeight w:val="245"/>
        </w:trPr>
        <w:tc>
          <w:tcPr>
            <w:tcW w:w="22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300" w:type="dxa"/>
            <w:vAlign w:val="bottom"/>
            <w:tcBorders>
              <w:top w:val="single" w:sz="8" w:color="0000FF"/>
            </w:tcBorders>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4260" w:type="dxa"/>
            <w:vAlign w:val="bottom"/>
            <w:gridSpan w:val="6"/>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r>
      <w:tr>
        <w:trPr>
          <w:trHeight w:val="194"/>
        </w:trPr>
        <w:tc>
          <w:tcPr>
            <w:tcW w:w="220" w:type="dxa"/>
            <w:vAlign w:val="bottom"/>
          </w:tcPr>
          <w:p>
            <w:pPr>
              <w:spacing w:after="0"/>
              <w:rPr>
                <w:sz w:val="16"/>
                <w:szCs w:val="16"/>
                <w:color w:val="auto"/>
              </w:rPr>
            </w:pPr>
          </w:p>
        </w:tc>
        <w:tc>
          <w:tcPr>
            <w:tcW w:w="106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FF"/>
              </w:rPr>
              <w:t>Item 10.</w:t>
            </w:r>
          </w:p>
        </w:tc>
        <w:tc>
          <w:tcPr>
            <w:tcW w:w="914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7"/>
                <w:szCs w:val="17"/>
                <w:color w:val="0000FF"/>
                <w:w w:val="70"/>
              </w:rPr>
              <w:t>46</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11.</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46</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12.</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46</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13.</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46</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700" w:type="dxa"/>
            <w:vAlign w:val="bottom"/>
            <w:tcBorders>
              <w:right w:val="single" w:sz="8" w:color="0000FF"/>
            </w:tcBorders>
            <w:gridSpan w:val="5"/>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14.</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46</w:t>
            </w:r>
          </w:p>
        </w:tc>
      </w:tr>
      <w:tr>
        <w:trPr>
          <w:trHeight w:val="245"/>
        </w:trPr>
        <w:tc>
          <w:tcPr>
            <w:tcW w:w="220" w:type="dxa"/>
            <w:vAlign w:val="bottom"/>
          </w:tcPr>
          <w:p>
            <w:pPr>
              <w:spacing w:after="0"/>
              <w:rPr>
                <w:sz w:val="21"/>
                <w:szCs w:val="21"/>
                <w:color w:val="auto"/>
              </w:rPr>
            </w:pPr>
          </w:p>
        </w:tc>
        <w:tc>
          <w:tcPr>
            <w:tcW w:w="5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560" w:type="dxa"/>
            <w:vAlign w:val="bottom"/>
            <w:gridSpan w:val="9"/>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r>
      <w:tr>
        <w:trPr>
          <w:trHeight w:val="194"/>
        </w:trPr>
        <w:tc>
          <w:tcPr>
            <w:tcW w:w="220" w:type="dxa"/>
            <w:vAlign w:val="bottom"/>
          </w:tcPr>
          <w:p>
            <w:pPr>
              <w:spacing w:after="0"/>
              <w:rPr>
                <w:sz w:val="16"/>
                <w:szCs w:val="16"/>
                <w:color w:val="auto"/>
              </w:rPr>
            </w:pPr>
          </w:p>
        </w:tc>
        <w:tc>
          <w:tcPr>
            <w:tcW w:w="106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0000FF"/>
              </w:rPr>
              <w:t>Item 15.</w:t>
            </w:r>
          </w:p>
        </w:tc>
        <w:tc>
          <w:tcPr>
            <w:tcW w:w="9140" w:type="dxa"/>
            <w:vAlign w:val="bottom"/>
            <w:gridSpan w:val="30"/>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7"/>
                <w:szCs w:val="17"/>
                <w:color w:val="0000FF"/>
                <w:w w:val="70"/>
              </w:rPr>
              <w:t>47</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1600" w:type="dxa"/>
            <w:vAlign w:val="bottom"/>
            <w:gridSpan w:val="9"/>
            <w:shd w:val="clear" w:color="auto" w:fill="0000FF"/>
          </w:tcPr>
          <w:p>
            <w:pPr>
              <w:spacing w:after="0" w:line="20" w:lineRule="exact"/>
              <w:rPr>
                <w:sz w:val="1"/>
                <w:szCs w:val="1"/>
                <w:color w:val="auto"/>
              </w:rPr>
            </w:pPr>
          </w:p>
        </w:tc>
        <w:tc>
          <w:tcPr>
            <w:tcW w:w="6000" w:type="dxa"/>
            <w:vAlign w:val="bottom"/>
            <w:tcBorders>
              <w:right w:val="single" w:sz="8" w:color="0000FF"/>
            </w:tcBorders>
            <w:gridSpan w:val="11"/>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16.</w:t>
            </w:r>
          </w:p>
        </w:tc>
        <w:tc>
          <w:tcPr>
            <w:tcW w:w="9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51</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52</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34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(See the glossary immediately following this table of contents for definitions of certain abbreviated terms)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08" w:right="10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68"/>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80" w:type="dxa"/>
            <w:vAlign w:val="bottom"/>
            <w:gridSpan w:val="2"/>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ON SEMICONDUCTOR CORPORATION</w:t>
            </w:r>
          </w:p>
        </w:tc>
      </w:tr>
      <w:tr>
        <w:trPr>
          <w:trHeight w:val="238"/>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80" w:type="dxa"/>
            <w:vAlign w:val="bottom"/>
            <w:gridSpan w:val="2"/>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rPr>
              <w:t>FORM 10-K</w:t>
            </w:r>
          </w:p>
        </w:tc>
      </w:tr>
      <w:tr>
        <w:trPr>
          <w:trHeight w:val="459"/>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80" w:type="dxa"/>
            <w:vAlign w:val="bottom"/>
            <w:gridSpan w:val="2"/>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GLOSSARY OF SELECTED ABBREVIATED TERMS*</w:t>
            </w:r>
          </w:p>
        </w:tc>
      </w:tr>
      <w:tr>
        <w:trPr>
          <w:trHeight w:val="257"/>
        </w:trPr>
        <w:tc>
          <w:tcPr>
            <w:tcW w:w="40" w:type="dxa"/>
            <w:vAlign w:val="bottom"/>
          </w:tcPr>
          <w:p>
            <w:pPr>
              <w:spacing w:after="0"/>
              <w:rPr>
                <w:sz w:val="22"/>
                <w:szCs w:val="22"/>
                <w:color w:val="auto"/>
              </w:rPr>
            </w:pPr>
          </w:p>
        </w:tc>
        <w:tc>
          <w:tcPr>
            <w:tcW w:w="29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Abbreviated Term</w:t>
            </w:r>
          </w:p>
        </w:tc>
        <w:tc>
          <w:tcPr>
            <w:tcW w:w="8280" w:type="dxa"/>
            <w:vAlign w:val="bottom"/>
            <w:gridSpan w:val="2"/>
          </w:tcPr>
          <w:p>
            <w:pPr>
              <w:ind w:left="3600"/>
              <w:spacing w:after="0"/>
              <w:rPr>
                <w:sz w:val="20"/>
                <w:szCs w:val="20"/>
                <w:color w:val="auto"/>
              </w:rPr>
            </w:pPr>
            <w:r>
              <w:rPr>
                <w:rFonts w:ascii="Times New Roman" w:cs="Times New Roman" w:eastAsia="Times New Roman" w:hAnsi="Times New Roman"/>
                <w:sz w:val="18"/>
                <w:szCs w:val="18"/>
                <w:b w:val="1"/>
                <w:bCs w:val="1"/>
                <w:color w:val="auto"/>
              </w:rPr>
              <w:t>Defined Term</w:t>
            </w:r>
          </w:p>
        </w:tc>
      </w:tr>
      <w:tr>
        <w:trPr>
          <w:trHeight w:val="223"/>
        </w:trPr>
        <w:tc>
          <w:tcPr>
            <w:tcW w:w="40" w:type="dxa"/>
            <w:vAlign w:val="bottom"/>
          </w:tcPr>
          <w:p>
            <w:pPr>
              <w:spacing w:after="0"/>
              <w:rPr>
                <w:sz w:val="19"/>
                <w:szCs w:val="19"/>
                <w:color w:val="auto"/>
              </w:rPr>
            </w:pPr>
          </w:p>
        </w:tc>
        <w:tc>
          <w:tcPr>
            <w:tcW w:w="2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 Notes</w:t>
            </w:r>
          </w:p>
        </w:tc>
        <w:tc>
          <w:tcPr>
            <w:tcW w:w="160" w:type="dxa"/>
            <w:vAlign w:val="bottom"/>
            <w:tcBorders>
              <w:top w:val="single" w:sz="8" w:color="CCEEFF"/>
            </w:tcBorders>
            <w:shd w:val="clear" w:color="auto" w:fill="CCEEFF"/>
          </w:tcPr>
          <w:p>
            <w:pPr>
              <w:spacing w:after="0"/>
              <w:rPr>
                <w:sz w:val="19"/>
                <w:szCs w:val="19"/>
                <w:color w:val="auto"/>
              </w:rPr>
            </w:pPr>
          </w:p>
        </w:tc>
        <w:tc>
          <w:tcPr>
            <w:tcW w:w="8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 Convertible Senior Notes due 2027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0.50% Notes</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0.50% Convertible Senior Notes due 2029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1.625% Notes</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1.625% Convertible Senior Notes due 2023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3.875% Notes</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3.875% Senior Notes due 2028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ADAS</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driver assistance systems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AI</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Artificial Intelligence</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SIP</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Semiconductor Corporation Amended and Restated Stock Incentive Plan, as amended</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AMIS</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AMIS Holdings, Inc.</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AR/VR</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Augmented reality/virtual reality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ASC</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ASIC</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 specific integrated circuits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ASU</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CMOS</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Complementary metal oxide semiconductor</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Commission or SEC</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20" w:type="dxa"/>
            <w:vAlign w:val="bottom"/>
          </w:tcPr>
          <w:p>
            <w:pPr>
              <w:spacing w:after="0"/>
              <w:rPr>
                <w:sz w:val="19"/>
                <w:szCs w:val="19"/>
                <w:color w:val="auto"/>
              </w:rPr>
            </w:pPr>
          </w:p>
        </w:tc>
      </w:tr>
      <w:tr>
        <w:trPr>
          <w:trHeight w:val="176"/>
        </w:trPr>
        <w:tc>
          <w:tcPr>
            <w:tcW w:w="40" w:type="dxa"/>
            <w:vAlign w:val="bottom"/>
          </w:tcPr>
          <w:p>
            <w:pPr>
              <w:spacing w:after="0"/>
              <w:rPr>
                <w:sz w:val="15"/>
                <w:szCs w:val="15"/>
                <w:color w:val="auto"/>
              </w:rPr>
            </w:pPr>
          </w:p>
        </w:tc>
        <w:tc>
          <w:tcPr>
            <w:tcW w:w="29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Credit Agreement</w:t>
            </w:r>
          </w:p>
        </w:tc>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Credit agreement, dated as of June 22, 2023, by and among the Company, as borrower, the</w:t>
            </w:r>
          </w:p>
        </w:tc>
        <w:tc>
          <w:tcPr>
            <w:tcW w:w="20" w:type="dxa"/>
            <w:vAlign w:val="bottom"/>
          </w:tcPr>
          <w:p>
            <w:pPr>
              <w:spacing w:after="0"/>
              <w:rPr>
                <w:sz w:val="15"/>
                <w:szCs w:val="15"/>
                <w:color w:val="auto"/>
              </w:rPr>
            </w:pPr>
          </w:p>
        </w:tc>
      </w:tr>
      <w:tr>
        <w:trPr>
          <w:trHeight w:val="184"/>
        </w:trPr>
        <w:tc>
          <w:tcPr>
            <w:tcW w:w="40" w:type="dxa"/>
            <w:vAlign w:val="bottom"/>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several lenders party thereto, JP Morgan Chase Bank, N.A., as administrative agent, and</w:t>
            </w:r>
          </w:p>
        </w:tc>
        <w:tc>
          <w:tcPr>
            <w:tcW w:w="20" w:type="dxa"/>
            <w:vAlign w:val="bottom"/>
          </w:tcPr>
          <w:p>
            <w:pPr>
              <w:spacing w:after="0"/>
              <w:rPr>
                <w:sz w:val="16"/>
                <w:szCs w:val="16"/>
                <w:color w:val="auto"/>
              </w:rPr>
            </w:pPr>
          </w:p>
        </w:tc>
      </w:tr>
      <w:tr>
        <w:trPr>
          <w:trHeight w:val="234"/>
        </w:trPr>
        <w:tc>
          <w:tcPr>
            <w:tcW w:w="4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other parties, providing for the Revolving Credit Facility</w:t>
            </w:r>
          </w:p>
        </w:tc>
        <w:tc>
          <w:tcPr>
            <w:tcW w:w="20" w:type="dxa"/>
            <w:vAlign w:val="bottom"/>
          </w:tcPr>
          <w:p>
            <w:pPr>
              <w:spacing w:after="0"/>
              <w:rPr>
                <w:sz w:val="20"/>
                <w:szCs w:val="20"/>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ECL</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Emitter coupled logic</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EFK</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 Fishkill, New York fabrication facility</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EPA</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Protection Agency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Semiconductor Corporation 2000 Employee Stock Purchase Plan, as amended</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EV/HEV</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Electric vehicles/hybrid electric vehicles</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Fairchild</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Fairchild Semiconductor International LLC, a wholly-owned subsidiary of ON Semiconductor Corporation</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FASB</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Integrated circuit</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IGBT</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Insulated-gate bipolar transistor</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IP</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IPRD</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2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LIBOR</w:t>
            </w:r>
          </w:p>
        </w:tc>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 base rate per annum equal to the London Interbank Offered Rate as administered by the Intercontinental</w:t>
            </w:r>
          </w:p>
        </w:tc>
        <w:tc>
          <w:tcPr>
            <w:tcW w:w="20" w:type="dxa"/>
            <w:vAlign w:val="bottom"/>
          </w:tcPr>
          <w:p>
            <w:pPr>
              <w:spacing w:after="0"/>
              <w:rPr>
                <w:sz w:val="15"/>
                <w:szCs w:val="15"/>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 Benchmark Administration</w:t>
            </w:r>
          </w:p>
        </w:tc>
      </w:tr>
      <w:tr>
        <w:trPr>
          <w:trHeight w:val="238"/>
        </w:trPr>
        <w:tc>
          <w:tcPr>
            <w:tcW w:w="40" w:type="dxa"/>
            <w:vAlign w:val="bottom"/>
          </w:tcPr>
          <w:p>
            <w:pPr>
              <w:spacing w:after="0"/>
              <w:rPr>
                <w:sz w:val="20"/>
                <w:szCs w:val="20"/>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LSI</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Large-scale integration</w:t>
            </w:r>
          </w:p>
        </w:tc>
        <w:tc>
          <w:tcPr>
            <w:tcW w:w="2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MOSFET</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 oxide semiconductor field effect transistor</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Original equipment manufacturer</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PC</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computer</w:t>
            </w: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29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Prior Credit Agreement</w:t>
            </w:r>
          </w:p>
        </w:tc>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Credit agreement, dated as of April 15, 2016, as subsequently amended, by and among the Company, as borrower,</w:t>
            </w:r>
          </w:p>
        </w:tc>
        <w:tc>
          <w:tcPr>
            <w:tcW w:w="20" w:type="dxa"/>
            <w:vAlign w:val="bottom"/>
          </w:tcPr>
          <w:p>
            <w:pPr>
              <w:spacing w:after="0"/>
              <w:rPr>
                <w:sz w:val="15"/>
                <w:szCs w:val="15"/>
                <w:color w:val="auto"/>
              </w:rPr>
            </w:pPr>
          </w:p>
        </w:tc>
      </w:tr>
      <w:tr>
        <w:trPr>
          <w:trHeight w:val="184"/>
        </w:trPr>
        <w:tc>
          <w:tcPr>
            <w:tcW w:w="40" w:type="dxa"/>
            <w:vAlign w:val="bottom"/>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the several lenders party thereto, Deutsche Bank AG, New York Branch, as administrative agent and collateral</w:t>
            </w:r>
          </w:p>
        </w:tc>
        <w:tc>
          <w:tcPr>
            <w:tcW w:w="2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agent, and certain other parties, providing for the Revolver due 2024 and the Term Loan "B" Facility, that was</w:t>
            </w: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terminated on June 22, 2023 and replaced by the Credit Agreement.</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PRP</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Potentially responsible party</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QCS</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Previous division within AMG, primarily associated with the legacy Quantenna division</w:t>
            </w:r>
          </w:p>
        </w:tc>
        <w:tc>
          <w:tcPr>
            <w:tcW w:w="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Revolver due 2024</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$1.97 billion revolving credit facility created pursuant to the Prior Credit Agreement</w:t>
            </w:r>
          </w:p>
        </w:tc>
        <w:tc>
          <w:tcPr>
            <w:tcW w:w="20" w:type="dxa"/>
            <w:vAlign w:val="bottom"/>
          </w:tcPr>
          <w:p>
            <w:pPr>
              <w:spacing w:after="0"/>
              <w:rPr>
                <w:sz w:val="20"/>
                <w:szCs w:val="20"/>
                <w:color w:val="auto"/>
              </w:rPr>
            </w:pPr>
          </w:p>
        </w:tc>
      </w:tr>
      <w:tr>
        <w:trPr>
          <w:trHeight w:val="859"/>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60" w:type="dxa"/>
            <w:vAlign w:val="bottom"/>
          </w:tcPr>
          <w:p>
            <w:pPr>
              <w:jc w:val="center"/>
              <w:ind w:right="2850"/>
              <w:spacing w:after="0"/>
              <w:rPr>
                <w:sz w:val="20"/>
                <w:szCs w:val="20"/>
                <w:color w:val="auto"/>
              </w:rPr>
            </w:pPr>
            <w:r>
              <w:rPr>
                <w:rFonts w:ascii="Times New Roman" w:cs="Times New Roman" w:eastAsia="Times New Roman" w:hAnsi="Times New Roman"/>
                <w:sz w:val="18"/>
                <w:szCs w:val="18"/>
                <w:color w:val="auto"/>
                <w:w w:val="88"/>
              </w:rPr>
              <w:t>3</w:t>
            </w: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780" w:type="dxa"/>
            <w:vAlign w:val="bottom"/>
          </w:tcPr>
          <w:p>
            <w:pPr>
              <w:spacing w:after="0"/>
              <w:rPr>
                <w:sz w:val="17"/>
                <w:szCs w:val="17"/>
                <w:color w:val="auto"/>
              </w:rPr>
            </w:pPr>
          </w:p>
        </w:tc>
      </w:tr>
      <w:tr>
        <w:trPr>
          <w:trHeight w:val="601"/>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160" w:type="dxa"/>
            <w:vAlign w:val="bottom"/>
          </w:tcPr>
          <w:p>
            <w:pPr>
              <w:spacing w:after="0"/>
              <w:rPr>
                <w:sz w:val="24"/>
                <w:szCs w:val="24"/>
                <w:color w:val="auto"/>
              </w:rPr>
            </w:pPr>
          </w:p>
        </w:tc>
        <w:tc>
          <w:tcPr>
            <w:tcW w:w="878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 $1.5 billion revolving credit facility created pursuant to the Credit Agreement</w:t>
            </w:r>
          </w:p>
        </w:tc>
      </w:tr>
      <w:tr>
        <w:trPr>
          <w:trHeight w:val="230"/>
        </w:trPr>
        <w:tc>
          <w:tcPr>
            <w:tcW w:w="4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ROU</w:t>
            </w:r>
          </w:p>
        </w:tc>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Right-of-use</w:t>
            </w:r>
          </w:p>
        </w:tc>
      </w:tr>
      <w:tr>
        <w:trPr>
          <w:trHeight w:val="229"/>
        </w:trPr>
        <w:tc>
          <w:tcPr>
            <w:tcW w:w="4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30"/>
        </w:trPr>
        <w:tc>
          <w:tcPr>
            <w:tcW w:w="4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SCI LLC</w:t>
            </w:r>
          </w:p>
        </w:tc>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Semiconductor Components Industries, LLC, a wholly-owned subsidiary of ON Semiconductor Corporation</w:t>
            </w:r>
          </w:p>
        </w:tc>
      </w:tr>
      <w:tr>
        <w:trPr>
          <w:trHeight w:val="229"/>
        </w:trPr>
        <w:tc>
          <w:tcPr>
            <w:tcW w:w="4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Securities Act of 1933, as amended</w:t>
            </w:r>
          </w:p>
        </w:tc>
      </w:tr>
      <w:tr>
        <w:trPr>
          <w:trHeight w:val="229"/>
        </w:trPr>
        <w:tc>
          <w:tcPr>
            <w:tcW w:w="4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SiC</w:t>
            </w:r>
          </w:p>
        </w:tc>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Silicon carbide</w:t>
            </w:r>
          </w:p>
        </w:tc>
      </w:tr>
      <w:tr>
        <w:trPr>
          <w:trHeight w:val="230"/>
        </w:trPr>
        <w:tc>
          <w:tcPr>
            <w:tcW w:w="4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SiPM</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Silicon photomultipliers</w:t>
            </w:r>
          </w:p>
        </w:tc>
      </w:tr>
      <w:tr>
        <w:trPr>
          <w:trHeight w:val="229"/>
        </w:trPr>
        <w:tc>
          <w:tcPr>
            <w:tcW w:w="4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SPAD</w:t>
            </w:r>
          </w:p>
        </w:tc>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Single photon avalanche diode arrays</w:t>
            </w:r>
          </w:p>
        </w:tc>
      </w:tr>
      <w:tr>
        <w:trPr>
          <w:trHeight w:val="230"/>
        </w:trPr>
        <w:tc>
          <w:tcPr>
            <w:tcW w:w="4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"B" Facility</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 $2.4 billion term loan "B" facility created pursuant to the Prior Credit Agreement</w:t>
            </w:r>
          </w:p>
        </w:tc>
      </w:tr>
      <w:tr>
        <w:trPr>
          <w:trHeight w:val="229"/>
        </w:trPr>
        <w:tc>
          <w:tcPr>
            <w:tcW w:w="4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or United States</w:t>
            </w:r>
          </w:p>
        </w:tc>
        <w:tc>
          <w:tcPr>
            <w:tcW w:w="8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9"/>
        </w:trPr>
        <w:tc>
          <w:tcPr>
            <w:tcW w:w="4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WBG</w:t>
            </w:r>
          </w:p>
        </w:tc>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Wide band gap</w:t>
            </w:r>
          </w:p>
        </w:tc>
      </w:tr>
    </w:tbl>
    <w:p>
      <w:pPr>
        <w:spacing w:after="0" w:line="319"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used, but not defined, within the body of the Form 10-K are defined in this Glossary.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ON Semiconductor Corporation, together with its wholly and majority-owned subsidiaries, which operate under the onsemi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("onsemi," "we," "us," "our," or the "Company"), was incorporated under the laws of the State of Delaware in 1992.</w:t>
      </w:r>
    </w:p>
    <w:p>
      <w:pPr>
        <w:spacing w:after="0" w:line="2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provide intelligent power and intelligent sensing solutions with a primary focus towards automotive and industrial markets to help our customers solve challenging problems and create cutting-edge products for a better future. We are utilizing our extensive range of power technologies to help address the growing power demands of AI and data centers. Our intelligent power technologies enable the electrification of the automotive industry that allows for lighter and longer-range electric vehicles, empowers efficient fast-charging systems and propels sustainable energy for the highest efficiency solar strings and industrial power. Our intelligent power solutions for the automotive industry allow our customers to exceed range targets with lower weight and reduce system cost through efficiency. Our intelligent sensing technologies support the next generation industry, allowing for smarter factories and buildings while also enhancing the automotive mobility experience with imaging and depth sensing that make advanced vehicle safety and automated driving systems possible.</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believe the evolution of the automotive industry, with advancements in autonomous driving, ADAS, vehicle electrification, and the increase in electronics content for vehicle platforms, is reshaping the boundaries of transportation. Through sensing integration, we believe our intelligent power solutions achieve superior efficiencies compared to our peers. This integration allows lower temperature operation and reduced cooling requirements while saving costs and minimizing weight. In addition, our power solutions deliver power with less die per module, achieving higher range for a given battery capacity.</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December 31, 2024, we were organized into three operating and reportable segments: the Power Solutions Group ("PSG"), the Analog and Mixed-Signal Group ("AMG") and the Intelligent Sensing Group ("ISG"). During the first quarter of 2024, we reorganized the existing divisions within certain of our operating and reportable segments and renamed the Advanced Solutions Group ("ASG") reportable segment to AMG. See Note 3: ''Segments and Revenue'' in the notes to our audited consolidated financial statements included elsewhere in this Form 10-K for additional information regarding the segment reorganization.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 Developments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focus continues to be on revenue growth with stable gross margin by capturing high-growth megatrends in our focused end-markets of automotive and industrial infrastructure. We design products in highly-differentiated markets focused on customer needs while optimizing and right-sizing our manufacturing footprint to support growth with new product development and maintain gross margins through efficiencies. We are focused on achieving efficiencies in our operating and capital expenditures, capital allocation on research and development investments and resources to accelerate growth in high-margin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14, 2025, we completed the previously announced acquisition of the Silicon Carbide Junction Field-Effect Transistor ("SiC JFET") technology business from Qorvo US, Inc., and certain of its subsidiaries, for $118.8 million in cash, subject to working capital adjustments. We believe the acquisition complements our EliteSiC power portfolio within the PSG reportable segment and enables us to help address the need for high energy efficiency and power density in the AC-DC stage in power supply units for AI data centers.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Business Realignment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an effort to streamline resources, drive organizational efficiencies, consolidate our global corporate footprint, and align with our "Fab Right" manufacturing strategy, we continued our business realignment efforts during 2024. Under this plan, approximately 1,200 employees were notified of their employment termination and around 300 additional employees were reassigned or asked to relocate to another site. During the year ended December 31, 2024, we recorded severance costs, asset impairments and other related charges of approximately $75.7 million, $37.8 million and $16.3 million, respectively. See Note 7: ''Restructuring, Asset Impairments and Other Charges, net'' in the notes to our audited consolidated financial statements included elsewhere in this Form 10-K for additional information. We continue to evaluate employee positions and locations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operating improvements and efficiencies.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repurchased approximately 9.1 million shares of our common stock for an aggregate purchase price of approximately $650 million, which excludes fees, commissions and excise taxes. See Note 10: ''Earnings Per Share and Equity'' in the notes to our audited consolidated financial statements included elsewhere in this Form 10-K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Business Realignment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2023, we realigned our operating models in AMG (formerly "ASG"), Corporate information technology ("IT") organization and certain manufacturing locations in order to streamline our operations, achieve organizational efficiencies and consolidate resources into fewer, common sites across the world to align with the next phase of our multi-year "Fab Right" manufacturing strategy. Under this plan, approximately 1,900 employees were notified of their employment termination. We incurred severance costs and related charges of approximately $59.1 million related to these actions in 2023. See Note 7: ''Restructuring, Asset Impairments and Other Charges, net'' in the notes to our audited consolidated financial statements included elsewhere in this Form 10-K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1.625% Notes maturity and repayment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16, 2023, we repaid $119.6 million of the remaining outstanding principal amount of the 1.625% Notes in cash and settled the excess over the principal amount by issuing 4.5 million shares of our common stock. Under the previously executed bond hedge agreements, we also repurchased an equivalent number of shares of our common stock, for no additional consideration, to effectively offset the issuance of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22, 2023, we entered into a new Credit Agreement to replace the Revolver due 2024, which was set to mature on June 28, 2024. We drew $375.0 million against the Revolving Credit Facility and repaid the entire outstanding balance under the Revolver due 2024. We had previously repaid $125.0 million of the outstanding balance under the Revolver due 2024 during the first quarter of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0.50% Convertible Senior Notes due 2029</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28, 2023, we completed the offering of $1.5 billion aggregate principal amount of our 0.50% Notes and utilized the net proceeds along with cash generated from operations (i) to repay $1,086.0 million of the outstanding indebtedness under the Term Loan “B” Facility and the related transaction fees and expenses, (ii) to pay $171.5 million net cost of the related convertible note hedges after such costs were offset by the proceeds from the sale of warrants, and (iii) for general corporate purposes.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9: ''Long-Term Debt'' in the notes to our audited consolidated financial statements included elsewhere in this Form 10-K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 and Divestitures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2022, we completed the acquisition of EFK along with certain other assets and liabilities from GLOBALFOUNDRIES U.S. Inc. ("GFUS") for total consideration of $406.3 million. We paid GFUS $236.3 million, $100.0 million and $70.0 million during 2023, 2020 and 2019, respectively.</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2022, in line with our "Fab Right" strategy, we divested four wafer manufacturing facilities in Oudenaarde, Belgium, South Portland, Maine, Pocatello, Idaho and Niigata, Japan. We entered into wafer supply agreements with the respective buyers of these facilities to help minimize disruptions in our ability to meet customer demand for our products.</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See Note 5: ''Acquisitions and Divestitures'' in the notes to our audited consolidated financial statements included elsewhere in this Form 10-K for additional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Revenue-Generating Activities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onsemi generates revenue primarily from the sale of semiconductor products to distributors and direct customers. We also generate revenue, to a much lesser extent, from product development agreements and manufacturing services provided to customers. We believe that our ability to offer a broad range of products, combined with our global manufacturing and logistics network, provides our customers with single source purchasing. In 2025, we expect to include SiC JFET in our product portfolio within the PSG segment.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the product technologies under each of our segments based on our operating strategy: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40" w:type="dxa"/>
            <w:vAlign w:val="bottom"/>
          </w:tcPr>
          <w:p>
            <w:pPr>
              <w:spacing w:after="0"/>
              <w:rPr>
                <w:sz w:val="18"/>
                <w:szCs w:val="18"/>
                <w:color w:val="auto"/>
              </w:rPr>
            </w:pP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PSG</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AMG</w:t>
            </w: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ISG</w:t>
            </w:r>
          </w:p>
        </w:tc>
      </w:tr>
      <w:tr>
        <w:trPr>
          <w:trHeight w:val="226"/>
        </w:trPr>
        <w:tc>
          <w:tcPr>
            <w:tcW w:w="20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2024 Revenue (%)</w:t>
            </w: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47%</w:t>
            </w:r>
          </w:p>
        </w:tc>
        <w:tc>
          <w:tcPr>
            <w:tcW w:w="10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8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20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140" w:type="dxa"/>
            <w:vAlign w:val="bottom"/>
          </w:tcPr>
          <w:p>
            <w:pPr>
              <w:spacing w:after="0"/>
              <w:rPr>
                <w:sz w:val="23"/>
                <w:szCs w:val="23"/>
                <w:color w:val="auto"/>
              </w:rPr>
            </w:pPr>
          </w:p>
        </w:tc>
      </w:tr>
      <w:tr>
        <w:trPr>
          <w:trHeight w:val="230"/>
        </w:trPr>
        <w:tc>
          <w:tcPr>
            <w:tcW w:w="204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SiC products</w:t>
            </w:r>
          </w:p>
        </w:tc>
        <w:tc>
          <w:tcPr>
            <w:tcW w:w="3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Analog products</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Actuator Drivers</w:t>
            </w:r>
          </w:p>
        </w:tc>
      </w:tr>
      <w:tr>
        <w:trPr>
          <w:trHeight w:val="229"/>
        </w:trPr>
        <w:tc>
          <w:tcPr>
            <w:tcW w:w="2040" w:type="dxa"/>
            <w:vAlign w:val="bottom"/>
          </w:tcPr>
          <w:p>
            <w:pPr>
              <w:spacing w:after="0"/>
              <w:rPr>
                <w:sz w:val="19"/>
                <w:szCs w:val="19"/>
                <w:color w:val="auto"/>
              </w:rPr>
            </w:pP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Discrete products</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ASIC products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CMOS image sensors</w:t>
            </w:r>
          </w:p>
        </w:tc>
      </w:tr>
      <w:tr>
        <w:trPr>
          <w:trHeight w:val="229"/>
        </w:trPr>
        <w:tc>
          <w:tcPr>
            <w:tcW w:w="204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MOSFET products</w:t>
            </w:r>
          </w:p>
        </w:tc>
        <w:tc>
          <w:tcPr>
            <w:tcW w:w="3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Logic and Isolation products</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Image Signal Processors</w:t>
            </w:r>
          </w:p>
        </w:tc>
      </w:tr>
      <w:tr>
        <w:trPr>
          <w:trHeight w:val="230"/>
        </w:trPr>
        <w:tc>
          <w:tcPr>
            <w:tcW w:w="2040" w:type="dxa"/>
            <w:vAlign w:val="bottom"/>
          </w:tcPr>
          <w:p>
            <w:pPr>
              <w:spacing w:after="0"/>
              <w:rPr>
                <w:sz w:val="19"/>
                <w:szCs w:val="19"/>
                <w:color w:val="auto"/>
              </w:rPr>
            </w:pP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Power Module products</w:t>
            </w: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Non-Volatile Memory products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Single Photon Detectors</w:t>
            </w:r>
          </w:p>
        </w:tc>
      </w:tr>
      <w:tr>
        <w:trPr>
          <w:trHeight w:val="229"/>
        </w:trPr>
        <w:tc>
          <w:tcPr>
            <w:tcW w:w="20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Foundry products/services</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Short-Wavelength Infrared products</w:t>
            </w:r>
          </w:p>
        </w:tc>
      </w:tr>
      <w:tr>
        <w:trPr>
          <w:trHeight w:val="229"/>
        </w:trPr>
        <w:tc>
          <w:tcPr>
            <w:tcW w:w="20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Gate Driver products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Indirect Time of Flight sensors</w:t>
            </w:r>
          </w:p>
        </w:tc>
      </w:tr>
      <w:tr>
        <w:trPr>
          <w:trHeight w:val="230"/>
        </w:trPr>
        <w:tc>
          <w:tcPr>
            <w:tcW w:w="204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LSI products</w:t>
            </w:r>
          </w:p>
        </w:tc>
        <w:tc>
          <w:tcPr>
            <w:tcW w:w="314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3: ''Segments and Revenue'' in the notes to our audited consolidated financial statements included elsewhere in this Form 10-K for other information regarding our segments, their revenue and gross profit derived from each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Technology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certain information regarding the products and technologies for each of our operating segments.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PSG</w:t>
      </w:r>
    </w:p>
    <w:p>
      <w:pPr>
        <w:spacing w:after="0" w:line="2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PSG offers a wide array of discrete, module and integrated semiconductor products that perform multiple application functions, including power switching, signal conditioning, and circuit protection. The trends driving growth within our end-user markets are primarily higher power efficiency and power density in power applications, the need for greater functionality, and faster data transmission rates in all communications. Enhancement of the current electrical infrastructure driven by demand for green energy, electrification of powertrains in EVs and HEVs, and increased power demands from AI drive demand for onsemi’s highly efficient power switching products. The recent increase in the use of WBG MOSFETs and diodes, including SiC and IGBT, is further expanding the use of semiconductor products.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AMG designs and develops analog, mixed-signal, Power Management ICs, Sensor Interface devices, Power Conversion, Signal Chain, and Voltage Regulation devices for a broad base of end-users in the automotive, industrial, computing and mobile end-markets. We implement a platform-based design approach to rapidly proliferate product portfolios. AMG offers technology that provides our customers system-level differentiation, such as multi-phase controllers, gate drivers, DC-DC converters, AC-DC converters, ultrasonic sensors, inductive sensors, audiology digital signal processors, analog front ends, Bluetooth Low Energy, wired connectivity, Amplifiers, LDOs, Logic, EEPROMs, Isolation and more.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ISG designs and develops CMOS image sensors, image signal processors, single photon detectors, including SiPM, SPAD arrays and short-wavelength infrared products, as well as actuator drivers for autofocus and image stabilization for a broad base of end-users in the different end-markets. Our broad range of product offerings delivers excellent pixel performance, sensor functionality and camera systems capabilities in which high quality visual imagery is becoming increasingly important to our customers and their end-users, particularly in automotive and factory automation and in applications powered by AI.</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sell our products to distributors and direct customers for ultimate use in a variety of end-products in different end-markets. In general, we have maintained long-term relationships with our key customers, and our sales agreements are renewable periodically and contain certain terms and conditions with respect to payment, delivery, warranty and supply. During 2024, certain long-term supply agreements with strategic end-customers were modified upon mutual agreement. These agreements are subject to our standard terms and conditions, and generally include minimum purchase commitments and provisions allowing for renegotiation upon mutual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warrant that products sold to our customers will, at the time of shipment, be free from defects in workmanship and materials and conform to our approved specifications. Our standard warranty extends for a period of two years from the date of delivery, except in the case of image sensor products, which are warrantied for one year from the date of delivery. Unless otherwise agreed in writing, customers may cancel orders 120 days prior to shipment for standard products without penalty and, for custom products, prior to shipment, provided they pay onsemi's actual costs incurred as of the date we receive the cancellation notice. The loss of one of our large customers would have a material adverse effect on the operations of the respective segment and may have a material adverse effect on our consolidated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Distributors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to distributors accounted for approximately 53%, 52% and 58% of our revenue in 2024, 2023 and 2022, respectively. We had one distributor whose revenue accounted for approximately 10% of the total revenue for the year ended December 31, 2024. There were no distributors whose revenue exceeded 10% or more of total revenue for the year ended December 31, 2023. We had one distributor whose revenue accounted for approximately 12% of the total revenue for the year ended December 31, 2022. Our distributors resell our products to OEMs, contract manufacturers, and other end-customers. Sales to distributors are typically made pursuant to agreements that provide return rights and stock rotation provisions permitting limited levels of product returns.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Customers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to direct customers accounted for approximately 47%, 48% and 42% of our revenue in 2024, 2023 and 2022, respectively. Large multi-nationals and selected regional OEMs, which are significant in specific markets, form our core direct customers. Generally, these customers do not have the right to return our products following a sale other than pursuant to our warranty.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agreements with our customers, see "Markets," "Resources," "Risk Factors - Trends, Risks and Uncertainties Related to Our Business" and Note 2: ''Significant Accounting Policies'' under the heading "Revenue Recognition" in the notes to our audited consolidated financial statements, included elsewhere in this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onsemi is focused on innovation to create intelligent power and sensing technologies that solve the most challenging customer problems. Our product development efforts are directed towards the following:</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the need for solutions to manage and optimize the growing power demands and distribution within AI data centers;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powering the electrification of the automotive industry with our intelligent power technologies that allow for lighter and longer-range electric vehicles and enable efficient fast-charging systems;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propelling the sustainable energy evolution with our intelligent power technologies for the highest efficiency solar strings, industrial power and storage systems;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automotive mobility experience with our intelligent sensing technologies with imaging and depth sensing that make advanced vehicle safety and automated driving systems possible; and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automation and data exchange (Industry 4.0) with our intelligent sensing technologies for smarter factories and buildings.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our new product development efforts continue to be focused on building solutions in areas that appeal to customers in focused market segments and across multiple high-growth applications, it is our practice to regularly re-evaluate our research and development spending, to assess the deployment of resources and to review the funding of high-growth technologies. We deploy people and capital with the goal of maximizing the return for our research and development investments by targeting innovative products and solutions for high-growth applications that we believe position us to outperform the industry.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End-Markets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serve a broad base of end-user markets, with a primary focus towards automotive and industrial. The following table sets forth our principal end-markets, the estimated percentage (based in part on information provided by our distributors) of our revenue generated from each end-market during 2024, and sample applications for our products. Other includes the end-markets of computing, consumer, networking, communication, etc.</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20" w:type="dxa"/>
            <w:vAlign w:val="bottom"/>
          </w:tcPr>
          <w:p>
            <w:pPr>
              <w:spacing w:after="0"/>
              <w:rPr>
                <w:sz w:val="18"/>
                <w:szCs w:val="18"/>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Industrial</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22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 Revenue (%)</w:t>
            </w: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Sample applications</w:t>
            </w:r>
          </w:p>
        </w:tc>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EV</w:t>
            </w:r>
          </w:p>
        </w:tc>
        <w:tc>
          <w:tcPr>
            <w:tcW w:w="2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Energy &amp; EV Charging Infrastructure</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AI / Data Center</w:t>
            </w:r>
          </w:p>
        </w:tc>
        <w:tc>
          <w:tcPr>
            <w:tcW w:w="0" w:type="dxa"/>
            <w:vAlign w:val="bottom"/>
          </w:tcPr>
          <w:p>
            <w:pPr>
              <w:spacing w:after="0"/>
              <w:rPr>
                <w:sz w:val="1"/>
                <w:szCs w:val="1"/>
                <w:color w:val="auto"/>
              </w:rPr>
            </w:pPr>
          </w:p>
        </w:tc>
      </w:tr>
      <w:tr>
        <w:trPr>
          <w:trHeight w:val="227"/>
        </w:trPr>
        <w:tc>
          <w:tcPr>
            <w:tcW w:w="2920" w:type="dxa"/>
            <w:vAlign w:val="bottom"/>
          </w:tcPr>
          <w:p>
            <w:pPr>
              <w:spacing w:after="0"/>
              <w:rPr>
                <w:sz w:val="19"/>
                <w:szCs w:val="19"/>
                <w:color w:val="auto"/>
              </w:rPr>
            </w:pP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ADAS</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Industrial Automation</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5G Base Stations</w:t>
            </w:r>
          </w:p>
        </w:tc>
        <w:tc>
          <w:tcPr>
            <w:tcW w:w="0" w:type="dxa"/>
            <w:vAlign w:val="bottom"/>
          </w:tcPr>
          <w:p>
            <w:pPr>
              <w:spacing w:after="0"/>
              <w:rPr>
                <w:sz w:val="1"/>
                <w:szCs w:val="1"/>
                <w:color w:val="auto"/>
              </w:rPr>
            </w:pPr>
          </w:p>
        </w:tc>
      </w:tr>
      <w:tr>
        <w:trPr>
          <w:trHeight w:val="232"/>
        </w:trPr>
        <w:tc>
          <w:tcPr>
            <w:tcW w:w="292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Power Management</w:t>
            </w:r>
          </w:p>
        </w:tc>
        <w:tc>
          <w:tcPr>
            <w:tcW w:w="2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Security &amp; Surveillance</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Graphics Cards</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Gaming, Home Entertainment Systems,</w:t>
            </w:r>
          </w:p>
        </w:tc>
        <w:tc>
          <w:tcPr>
            <w:tcW w:w="0" w:type="dxa"/>
            <w:vAlign w:val="bottom"/>
          </w:tcPr>
          <w:p>
            <w:pPr>
              <w:spacing w:after="0"/>
              <w:rPr>
                <w:sz w:val="1"/>
                <w:szCs w:val="1"/>
                <w:color w:val="auto"/>
              </w:rPr>
            </w:pPr>
          </w:p>
        </w:tc>
      </w:tr>
      <w:tr>
        <w:trPr>
          <w:trHeight w:val="240"/>
        </w:trPr>
        <w:tc>
          <w:tcPr>
            <w:tcW w:w="2920" w:type="dxa"/>
            <w:vAlign w:val="bottom"/>
          </w:tcPr>
          <w:p>
            <w:pPr>
              <w:spacing w:after="0"/>
              <w:rPr>
                <w:sz w:val="20"/>
                <w:szCs w:val="20"/>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Powertrain</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Machine Vision</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&amp; Set Top Boxes</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In-Vehicle Networking</w:t>
            </w:r>
          </w:p>
        </w:tc>
        <w:tc>
          <w:tcPr>
            <w:tcW w:w="2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Smart Cities &amp; Buildings</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Routers</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2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Body &amp; Interior</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Hearing Health, Diagnostic, Therapy, &amp;</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Notebooks, Laptops, Desktop PCs &amp;</w:t>
            </w:r>
          </w:p>
        </w:tc>
        <w:tc>
          <w:tcPr>
            <w:tcW w:w="0" w:type="dxa"/>
            <w:vAlign w:val="bottom"/>
          </w:tcPr>
          <w:p>
            <w:pPr>
              <w:spacing w:after="0"/>
              <w:rPr>
                <w:sz w:val="1"/>
                <w:szCs w:val="1"/>
                <w:color w:val="auto"/>
              </w:rPr>
            </w:pPr>
          </w:p>
        </w:tc>
      </w:tr>
      <w:tr>
        <w:trPr>
          <w:trHeight w:val="213"/>
        </w:trPr>
        <w:tc>
          <w:tcPr>
            <w:tcW w:w="292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Monitoring</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Tablets</w:t>
            </w:r>
          </w:p>
        </w:tc>
        <w:tc>
          <w:tcPr>
            <w:tcW w:w="0" w:type="dxa"/>
            <w:vAlign w:val="bottom"/>
          </w:tcPr>
          <w:p>
            <w:pPr>
              <w:spacing w:after="0"/>
              <w:rPr>
                <w:sz w:val="1"/>
                <w:szCs w:val="1"/>
                <w:color w:val="auto"/>
              </w:rPr>
            </w:pPr>
          </w:p>
        </w:tc>
      </w:tr>
      <w:tr>
        <w:trPr>
          <w:trHeight w:val="232"/>
        </w:trPr>
        <w:tc>
          <w:tcPr>
            <w:tcW w:w="292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Lighting</w:t>
            </w:r>
          </w:p>
        </w:tc>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Power Solutions</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USB Type-C</w:t>
            </w:r>
          </w:p>
        </w:tc>
        <w:tc>
          <w:tcPr>
            <w:tcW w:w="0" w:type="dxa"/>
            <w:vAlign w:val="bottom"/>
          </w:tcPr>
          <w:p>
            <w:pPr>
              <w:spacing w:after="0"/>
              <w:rPr>
                <w:sz w:val="1"/>
                <w:szCs w:val="1"/>
                <w:color w:val="auto"/>
              </w:rPr>
            </w:pPr>
          </w:p>
        </w:tc>
      </w:tr>
      <w:tr>
        <w:trPr>
          <w:trHeight w:val="227"/>
        </w:trPr>
        <w:tc>
          <w:tcPr>
            <w:tcW w:w="2920" w:type="dxa"/>
            <w:vAlign w:val="bottom"/>
          </w:tcPr>
          <w:p>
            <w:pPr>
              <w:spacing w:after="0"/>
              <w:rPr>
                <w:sz w:val="19"/>
                <w:szCs w:val="19"/>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Sensors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AR/VR</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White Goods</w:t>
            </w:r>
          </w:p>
        </w:tc>
        <w:tc>
          <w:tcPr>
            <w:tcW w:w="0" w:type="dxa"/>
            <w:vAlign w:val="bottom"/>
          </w:tcPr>
          <w:p>
            <w:pPr>
              <w:spacing w:after="0"/>
              <w:rPr>
                <w:sz w:val="1"/>
                <w:szCs w:val="1"/>
                <w:color w:val="auto"/>
              </w:rPr>
            </w:pPr>
          </w:p>
        </w:tc>
      </w:tr>
      <w:tr>
        <w:trPr>
          <w:trHeight w:val="233"/>
        </w:trPr>
        <w:tc>
          <w:tcPr>
            <w:tcW w:w="292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Engine Control</w:t>
            </w:r>
          </w:p>
        </w:tc>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Motor Control</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Power Supplies</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Robotics</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Smart Phones</w:t>
            </w: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significant competition from major international semiconductor companies, as well as smaller companies focused on specific market niches. Because some of our components include functionality that in some cases may be integrated into more complex ICs, we also face competition from manufacturers of ICs, ASICs and fully-customized ICs, as well as customers who develop their own IC products. See "Risk Factors—Trends, Risks and Uncertainties Related to Our Business" included elsewhere in this Form 10-K for additional information.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competitors have greater financial and other resources to pursue development, engineering, manufacturing, marketing and distribution of their products and may generally be better situated to withstand adverse economic or market conditions. The semiconductor industry has experienced, and may continue to experience, significant consolidation among companies and vertical integration among customers. The following discusses the effects of competition on our three operating segments: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competitive strengths include core competencies such as leading-edge fabrication technologies, micro and module packaging expertise, breadth of product line and IP portfolio, high-quality, cost-effective manufacturing and supply chain management. Our commitment to continuous innovation allows us to provide a broad range of semiconductor solutions to our customers who differentiate in power density and power efficiency, the key performance characteristics driving our markets.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New products and package innovation that enable enhanced performance over existing portfolios drive competition. Of particular importance in the onsemi portfolio are the intelligent power technologies based on silicon and silicon carbide, wide band gap technologies, which we use to design, manufacture, and deliver to our customers as bare die, packaged discrete solutions or power module solutions. In addition to our power technologies, we believe our integrated circuit, signal and protection technologies have significant performance advantages over our competition. PSG’s primary competitors include: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Infineon Technologies AG ("Infineon"), STMicroelectronics N.V. ("STMicroelectronics"), Wolfspeed Inc., ROHM Semiconductor and Nexperia BV.</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AMG principally competes on design experience, manufacturing capability, depth and quality of IP, ability to service customer needs from the design phase to the shipping of a completed product, length of design cycle, longevity of technology support and experience of sales and technical support personnel. Our competitive position with respect to the above is enhanced by long-standing relationships with leading direct customers.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depends on internal and external variables. These variables include, but are not limited to, the timeliness with which we can develop new products and technologies, product performance and quality, manufacturing yields and availability of supply, customer service, pricing, industry trends and general economic trends. Competitors for certain of AMG's products and solutions include: Texas Instruments Incorporated, Analog Devices, Inc., Infineon, STMicroelectronics, Renesas Electronics Corporation, Monolithic Power Systems Inc. and NXP Semiconductors N.V.</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ISG differentiates itself from the competition through deep technical knowledge and close customer relationships to drive leading-edge sensing performance primarily in machine vision applications. ISG has significant imaging experience and was one of the earliest to commercialize CMOS active pixel sensors and introduce CMOS technology in many of our markets. ISG has leveraged this expertise into market-leading positions in automotive and industrial applications, which allow us to offer technical and end-user applications knowledge to help customers develop innovative sensing solutions across a broad range of end-user needs.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Competitors for certain of ISG's products and solutions include: Sony Semiconductor Manufacturing Corporation, Samsung Electronics Co., Ltd., and Omnivision Technologies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Distribution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global distribution centers in China, the Philippines and Singapore. Global and regional distribution channels further support our customers' needs for quick response and service. We offer efficient, cost-effective global applications support from our technical information centers and solution engineering centers, allowing for applications that are developed in one region of the world to be instantaneously available throughout all other regions.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sales are made primarily pursuant to orders that are booked as far as 52 weeks in advance of delivery. Generally, prices and quantities are fixed at the time of booking. Backlog as of a given date consists of existing orders and forecasted demand from our customers, in each case scheduled to be shipped in the current or future period. Backlog is influenced by several factors, including market demand, pricing and customer order patterns in reaction to product lead times. In the semiconductor industry, backlog quantities and shipment schedules under outstanding purchase orders are frequently revised to reflect changes in customer needs.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Materials</w:t>
      </w:r>
    </w:p>
    <w:p>
      <w:pPr>
        <w:spacing w:after="0" w:line="25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manufacturing processes use many raw materials, including silicon wafers, SiC wafers, laminate substrates, gold, copper, lead frames, mold compound, ceramic packages and various chemicals and gases, as well as other production supplies used in our manufacturing processes. We seek to obtain our raw materials and supplies in a timely, planned manner from our suppliers to allow for our manufacturing cycle to align with the timing of our customer demands. However, suppliers may extend lead times, limit supplies or increase prices due to capacity constraints or other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Design Operations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have domestic design operations in Arizona, California, Idaho, New York, Oregon, Pennsylvania, Rhode Island and Texas. We also have foreign design operations in Belgium, Canada, China, the Czech Republic, Germany, India, Ireland, Israel, Italy, Japan, South Korea, the Philippines, Romania, Singapore, the Slovak Republic, Slovenia, Switzerland, Taiwan and the United Kingdom. We operate front-end wafer fabrication facilities in the United States, the Czech Republic, Japan, South Korea, and Malaysia and back-end assembly and test site facilities in Canada, China, Malaysia, the Philippines, Vietnam and the United States. In addition to these front-end and back-end manufacturing operations, our facility in Hudson, New Hampshire manufactures SiC crystal boules and our facilities in Rožnov pod Radhoštěm, the Czech Republic and Bucheon, South Korea manufacture silicon and SiC wafers that are used by a number of our facilities.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sets forth information with respect to the manufacturing facilities we operate either directly or pursuant to joint ventures, the reportable segments that use such facilities, and the approximate gross square footage of each site's building, which includes, among other things, manufacturing, laboratory, warehousing, office, utility, support and unused areas.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w:t>
            </w:r>
          </w:p>
        </w:tc>
        <w:tc>
          <w:tcPr>
            <w:tcW w:w="12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Size (sq. ft.)</w:t>
            </w:r>
          </w:p>
        </w:tc>
      </w:tr>
      <w:tr>
        <w:trPr>
          <w:trHeight w:val="226"/>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Front-end Facilities:</w:t>
            </w:r>
          </w:p>
        </w:tc>
        <w:tc>
          <w:tcPr>
            <w:tcW w:w="14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9"/>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East Fishkill, New York</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ISG and PSG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2,724,137</w:t>
            </w:r>
          </w:p>
        </w:tc>
      </w:tr>
      <w:tr>
        <w:trPr>
          <w:trHeight w:val="229"/>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Gresham, Oregon</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558,457</w:t>
            </w:r>
          </w:p>
        </w:tc>
      </w:tr>
      <w:tr>
        <w:trPr>
          <w:trHeight w:val="230"/>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Rožnov pod Radhoštěm, Czech Republic</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450,755</w:t>
            </w:r>
          </w:p>
        </w:tc>
      </w:tr>
      <w:tr>
        <w:trPr>
          <w:trHeight w:val="229"/>
        </w:trPr>
        <w:tc>
          <w:tcPr>
            <w:tcW w:w="63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Seremban, Malaysia (Site 2) </w:t>
            </w:r>
            <w:r>
              <w:rPr>
                <w:rFonts w:ascii="Times New Roman" w:cs="Times New Roman" w:eastAsia="Times New Roman" w:hAnsi="Times New Roman"/>
                <w:sz w:val="23"/>
                <w:szCs w:val="23"/>
                <w:color w:val="auto"/>
                <w:vertAlign w:val="superscript"/>
              </w:rPr>
              <w:t>(3)</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ISG and PSG</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133,061</w:t>
            </w:r>
          </w:p>
        </w:tc>
      </w:tr>
      <w:tr>
        <w:trPr>
          <w:trHeight w:val="229"/>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Bucheon, South Korea</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1,113,938</w:t>
            </w:r>
          </w:p>
        </w:tc>
      </w:tr>
      <w:tr>
        <w:trPr>
          <w:trHeight w:val="230"/>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Mountaintop, Pennsylvania</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437,000</w:t>
            </w:r>
          </w:p>
        </w:tc>
      </w:tr>
      <w:tr>
        <w:trPr>
          <w:trHeight w:val="229"/>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Aizuwakamatsu, Japan</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734,482</w:t>
            </w:r>
          </w:p>
        </w:tc>
      </w:tr>
      <w:tr>
        <w:trPr>
          <w:trHeight w:val="230"/>
        </w:trPr>
        <w:tc>
          <w:tcPr>
            <w:tcW w:w="63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Nampa, Idaho </w:t>
            </w:r>
            <w:r>
              <w:rPr>
                <w:rFonts w:ascii="Times New Roman" w:cs="Times New Roman" w:eastAsia="Times New Roman" w:hAnsi="Times New Roman"/>
                <w:sz w:val="23"/>
                <w:szCs w:val="23"/>
                <w:color w:val="auto"/>
                <w:vertAlign w:val="superscript"/>
              </w:rPr>
              <w:t>(1) (2)</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ISG</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166,268</w:t>
            </w:r>
          </w:p>
        </w:tc>
      </w:tr>
      <w:tr>
        <w:trPr>
          <w:trHeight w:val="229"/>
        </w:trPr>
        <w:tc>
          <w:tcPr>
            <w:tcW w:w="63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Hudson, New Hampshire </w:t>
            </w:r>
            <w:r>
              <w:rPr>
                <w:rFonts w:ascii="Times New Roman" w:cs="Times New Roman" w:eastAsia="Times New Roman" w:hAnsi="Times New Roman"/>
                <w:sz w:val="23"/>
                <w:szCs w:val="23"/>
                <w:color w:val="auto"/>
                <w:vertAlign w:val="superscript"/>
              </w:rPr>
              <w:t>(1)</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272,036</w:t>
            </w:r>
          </w:p>
        </w:tc>
      </w:tr>
      <w:tr>
        <w:trPr>
          <w:trHeight w:val="257"/>
        </w:trPr>
        <w:tc>
          <w:tcPr>
            <w:tcW w:w="6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5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29"/>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Back-end Facilities:</w:t>
            </w:r>
          </w:p>
        </w:tc>
        <w:tc>
          <w:tcPr>
            <w:tcW w:w="3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3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Burlington, Canada </w:t>
            </w:r>
            <w:r>
              <w:rPr>
                <w:rFonts w:ascii="Times New Roman" w:cs="Times New Roman" w:eastAsia="Times New Roman" w:hAnsi="Times New Roman"/>
                <w:sz w:val="23"/>
                <w:szCs w:val="23"/>
                <w:color w:val="auto"/>
                <w:vertAlign w:val="superscript"/>
              </w:rPr>
              <w:t>(1)</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95,440</w:t>
            </w:r>
          </w:p>
        </w:tc>
      </w:tr>
      <w:tr>
        <w:trPr>
          <w:trHeight w:val="230"/>
        </w:trPr>
        <w:tc>
          <w:tcPr>
            <w:tcW w:w="63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Leshan, China </w:t>
            </w:r>
            <w:r>
              <w:rPr>
                <w:rFonts w:ascii="Times New Roman" w:cs="Times New Roman" w:eastAsia="Times New Roman" w:hAnsi="Times New Roman"/>
                <w:sz w:val="23"/>
                <w:szCs w:val="23"/>
                <w:color w:val="auto"/>
                <w:vertAlign w:val="superscript"/>
              </w:rPr>
              <w:t>(3)</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416,339</w:t>
            </w:r>
          </w:p>
        </w:tc>
      </w:tr>
      <w:tr>
        <w:trPr>
          <w:trHeight w:val="230"/>
        </w:trPr>
        <w:tc>
          <w:tcPr>
            <w:tcW w:w="63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Seremban, Malaysia (Site 1) </w:t>
            </w:r>
            <w:r>
              <w:rPr>
                <w:rFonts w:ascii="Times New Roman" w:cs="Times New Roman" w:eastAsia="Times New Roman" w:hAnsi="Times New Roman"/>
                <w:sz w:val="23"/>
                <w:szCs w:val="23"/>
                <w:color w:val="auto"/>
                <w:vertAlign w:val="superscript"/>
              </w:rPr>
              <w:t>(3)</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ISG and PSG</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328,275</w:t>
            </w:r>
          </w:p>
        </w:tc>
      </w:tr>
      <w:tr>
        <w:trPr>
          <w:trHeight w:val="229"/>
        </w:trPr>
        <w:tc>
          <w:tcPr>
            <w:tcW w:w="63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Carmona, Philippines </w:t>
            </w:r>
            <w:r>
              <w:rPr>
                <w:rFonts w:ascii="Times New Roman" w:cs="Times New Roman" w:eastAsia="Times New Roman" w:hAnsi="Times New Roman"/>
                <w:sz w:val="23"/>
                <w:szCs w:val="23"/>
                <w:color w:val="auto"/>
                <w:vertAlign w:val="superscript"/>
              </w:rPr>
              <w:t>(3)</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926,367</w:t>
            </w:r>
          </w:p>
        </w:tc>
      </w:tr>
      <w:tr>
        <w:trPr>
          <w:trHeight w:val="230"/>
        </w:trPr>
        <w:tc>
          <w:tcPr>
            <w:tcW w:w="63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Tarlac City, Philippines </w:t>
            </w:r>
            <w:r>
              <w:rPr>
                <w:rFonts w:ascii="Times New Roman" w:cs="Times New Roman" w:eastAsia="Times New Roman" w:hAnsi="Times New Roman"/>
                <w:sz w:val="23"/>
                <w:szCs w:val="23"/>
                <w:color w:val="auto"/>
                <w:vertAlign w:val="superscript"/>
              </w:rPr>
              <w:t>(3)</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381,764</w:t>
            </w:r>
          </w:p>
        </w:tc>
      </w:tr>
      <w:tr>
        <w:trPr>
          <w:trHeight w:val="230"/>
        </w:trPr>
        <w:tc>
          <w:tcPr>
            <w:tcW w:w="63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Shenzhen, China </w:t>
            </w:r>
            <w:r>
              <w:rPr>
                <w:rFonts w:ascii="Times New Roman" w:cs="Times New Roman" w:eastAsia="Times New Roman" w:hAnsi="Times New Roman"/>
                <w:sz w:val="23"/>
                <w:szCs w:val="23"/>
                <w:color w:val="auto"/>
                <w:vertAlign w:val="superscript"/>
              </w:rPr>
              <w:t>(1)</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275,463</w:t>
            </w:r>
          </w:p>
        </w:tc>
      </w:tr>
      <w:tr>
        <w:trPr>
          <w:trHeight w:val="230"/>
        </w:trPr>
        <w:tc>
          <w:tcPr>
            <w:tcW w:w="63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Bien Hoa, Vietnam </w:t>
            </w:r>
            <w:r>
              <w:rPr>
                <w:rFonts w:ascii="Times New Roman" w:cs="Times New Roman" w:eastAsia="Times New Roman" w:hAnsi="Times New Roman"/>
                <w:sz w:val="23"/>
                <w:szCs w:val="23"/>
                <w:color w:val="auto"/>
                <w:vertAlign w:val="superscript"/>
              </w:rPr>
              <w:t>(3)</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294,418</w:t>
            </w:r>
          </w:p>
        </w:tc>
      </w:tr>
      <w:tr>
        <w:trPr>
          <w:trHeight w:val="229"/>
        </w:trPr>
        <w:tc>
          <w:tcPr>
            <w:tcW w:w="630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Cebu, Philippines </w:t>
            </w:r>
            <w:r>
              <w:rPr>
                <w:rFonts w:ascii="Times New Roman" w:cs="Times New Roman" w:eastAsia="Times New Roman" w:hAnsi="Times New Roman"/>
                <w:sz w:val="23"/>
                <w:szCs w:val="23"/>
                <w:color w:val="auto"/>
                <w:vertAlign w:val="superscript"/>
              </w:rPr>
              <w:t>(3)</w:t>
            </w:r>
          </w:p>
        </w:tc>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228,460</w:t>
            </w:r>
          </w:p>
        </w:tc>
      </w:tr>
      <w:tr>
        <w:trPr>
          <w:trHeight w:val="230"/>
        </w:trPr>
        <w:tc>
          <w:tcPr>
            <w:tcW w:w="63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Suzhou, China </w:t>
            </w:r>
            <w:r>
              <w:rPr>
                <w:rFonts w:ascii="Times New Roman" w:cs="Times New Roman" w:eastAsia="Times New Roman" w:hAnsi="Times New Roman"/>
                <w:sz w:val="23"/>
                <w:szCs w:val="23"/>
                <w:color w:val="auto"/>
                <w:vertAlign w:val="superscript"/>
              </w:rPr>
              <w:t>(3)</w:t>
            </w:r>
          </w:p>
        </w:tc>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AMG and PSG</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452,639</w:t>
            </w:r>
          </w:p>
        </w:tc>
      </w:tr>
    </w:tbl>
    <w:p>
      <w:pPr>
        <w:spacing w:after="0" w:line="289" w:lineRule="exact"/>
        <w:rPr>
          <w:sz w:val="20"/>
          <w:szCs w:val="20"/>
          <w:color w:val="auto"/>
        </w:rPr>
      </w:pPr>
    </w:p>
    <w:p>
      <w:pPr>
        <w:ind w:left="480" w:hanging="472"/>
        <w:spacing w:after="0"/>
        <w:tabs>
          <w:tab w:leader="none" w:pos="48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facilities are leased.</w:t>
      </w:r>
    </w:p>
    <w:p>
      <w:pPr>
        <w:spacing w:after="0" w:line="1"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facility is used for both front-end and back-end operations.</w:t>
      </w:r>
    </w:p>
    <w:p>
      <w:pPr>
        <w:spacing w:after="0" w:line="2"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facilities are located on leased land.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acquisitions and divestitures, see Note 5: ''Acquisitions and Divestitures'' in the notes to our audited consolidated financial statements included elsewhere in this Form 10-K.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our manufacturing facilities are fully owned and operated by us, except our assembly and test operations facility located in Leshan, China, which is owned by Leshan-Phoenix Semiconductor Company Limited, a joint venture company in which we own 80% of the outstanding equity interests ("Leshan"). The financial and operating results of Leshan have been consolidated in our financial statements. Our joint venture partner is Leshan Radio Company Ltd. ("Leshan Radio"), formerly a Chinese state-owned enterprise. Pursuant to the joint venture agreement between us and Leshan Radio, requests for production capacity are made to the board of directors of Leshan by each shareholder of the joint venture. Each request represents a purchase commitment, provided that any shareholder may elect to pay the cost associated with the unused capacity (which is generally equal to the fixed cost of the capacity) in lieu of satisfying the commitment. We purchased 80% of Leshan's production capacity in each of 2024, 2023 and 2022, and are currently committed to purchase approximately 80% of Leshan's expected production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in 2025.</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third-party contractors for some of our manufacturing activities, primarily for wafer fabrication and the assembly and testing of finished goods. Our agreements with these contract manufacturers typically require us to forecast product needs and commit to purchase services consistent with these forecasts. In some cases, longer-term commitments are required in the early stages of the relationship. These manufacturers collectively accounted for approximately 33% of our total manufacturing input costs in 2024, 36% in 2023 and 43% in 2022.</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risks associated with our foreign operations, see "Risk Factors — Trends, Risks and Uncertainties Related to Our Business" included elsewhere in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 Trademarks, Copyrights and Other Intellectual Property Rights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market our products under worldwide trademarks, including the ON Semiconductor, ON, onsemi, and various product names and logos, and, in the United States and internationally, we rely primarily on a combination of patents, trademarks, copyrights, trade secrets, employee and non-disclosure agreements and licensing agreements to protect our IP. We acquired, licensed or sublicensed a significant amount of IP, including patents and patent applications, in connection with our acquisitions, and we have numerous United States and foreign patents issued, allowed and pending. We do not consider our business substantially dependent on any single onsemi patent. Our policy is to protect our products and processes by asserting our IP rights where appropriate and prudent and by obtaining patents, copyrights and other IP rights used in connection with our business when practicable and appropriate. We believe the duration of our IP rights is adequate to protect our products and processes.</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risks associated with intellectual property, see "Risk Factors — Trends, Risks and Uncertainties Related to Intellectual Property" included elsewhere in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experiencing fluctuations in our operating results due to general industry and macroeconomic conditions as well as within the semiconductor industry. However, we believe our business is driven more by content gains within applications and secular growth drivers and not solely by macroeconomic and industry cyclicality. For information regarding risks associated with the cyclicality and seasonality of our business, see "Risk Factors —Trends, Risks and Uncertainties Related to Our Business" included elsewhere in this Form 10-K.</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manufacturing operations are subject to various United States and foreign environmental and worker health and safety laws and regulations. These laws and regulations include those relating to emissions and discharges into the air and water, the management and disposal of hazardous substances, the release of hazardous substances into the environment at or from our facilities and at other sites and the investigation and remediation of contamination. As with other companies engaged in like businesses, the nature of our operations exposes us to the risk of liabilities and claims, regardless of fault, with respect to such matters, including personal injury claims and civil and criminal fines.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operations are in material compliance with applicable environmental and health and safety laws and regulations. The costs we incurred in complying with applicable environmental regulations for the year ended December 31, 2024 were not material, and we do not currently expect the cost of complying with existing environmental and health and safety laws and regulations, together with any liabilities for currently known environmental conditions, to have a material adverse effect on our capital expenditures or earnings or on our competitive position in any one year. It is possible, however, that future developments, including changes in laws and regulations, government policies, customer specification, personnel and physical property conditions, including currently undiscovered contamination, could lead to material costs, and such costs may have a material adverse effect on our future business or prospects. See Note 13: ''Commitments and Contingencies'' in the notes to our audited consolidated financial statements included elsewhere in this Form 10-K for information on certain environmental matters.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numerous United States and foreign laws and regulations, including, without limitation, tariffs, trade sanctions, trade barriers, trade embargoes, regulations relating to import-export control, technology transfer restrictions, the International Traffic in Arms Regulation promulgated under the Arms Export Control Act ("ITAR"), the Foreign Corrupt Practices Act ("FCPA"), and the anti-boycott provisions of the U.S. Export Administration Act. Additionally, United States and foreign governmental authorities have taken, and may continue to take, administrative, legislative or regulatory action that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impact our operations.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operations are in material compliance with applicable trade regulations relating to import-export control, technology transfer restrictions, ITAR, FCPA, the anti-boycott provisions of the U.S. Export Administration Act, and similar applicable laws and regulations. The costs we incurred in complying with applicable trade regulations for the year ended December 31, 2024 were not material, and we do not currently expect the cost of complying with existing trade laws and regulations to have a material adverse effect on our capital expenditures or earnings or on our competitive position in any one year. It is possible, however, that future developments, including changes in laws and regulations or government policies, could lead to material costs, and such costs may have a material adverse effect on our future business or prospects. For information regarding risks associated with import-export control regulations and similar applicable laws and regulations, see "Risk Factors—Trends, Risks and Uncertainties Related to Our Business" included elsewhere in this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Initiatives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onsemi strives to be a responsible corporate citizen. We uphold ethical standards in our business practices and policies, and we believe that sustainable corporate practices and consistent attention to environmental, social and governance priorities will help enhance long-term value for our stockholders.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onsemi strives to protect and respect its environment and energy resources for future generations throughout its operations, including wafer fabrication, assembly, test, support operations, and through its value chain. We have a goal to achieve net zero emissions by 2040, supported by our climate change policy, which highlights the focus areas for climate change-related actions. In 2024, our near-term greenhouse gas emissions targets were validated by the Science Based Targets initiative. We have formulated a strategy and are taking initial steps towards the achievement of our targets.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work together with our customers, peers, partners and suppliers to promote continual improvement in human rights, labor, environment, health and safety, anti-corruption, ethics and management system standards within our operations and our supply chain. We proactively comply with the Responsible Business Alliance (“RBA”) Code of Conduct, which is aimed at eliminating forced labor, slavery and human trafficking and conflict minerals, pursuant to our involvement with the Responsible Minerals Initiative.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(the "Board of Directors" or the "Board") and management regularly evaluate our corporate responsibility policies, including our Code of Business Conduct and other corporate social responsibility policies and programs, to help ensure an effective outcome and adherence by our employees, suppliers, vendors and partners.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Core Principles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attract, train, retain and motivate our employees involved in the design, development, manufacturing and support of new and existing products and services. We value the diversity of our workforce and work consciously to create growth and development opportunities for our employees, embracing different perspectives and fostering an inclusive work environment. As we are a member of the RBA, its principles are fundamental to our corporate culture and core values and are reflected in our commitments to our employees, customers, communities and other stakeholders. These principles include providing a safe and positive work environment for our employees that emphasizes learning, professional development and respect for individuals and ethical conduct.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Headcount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had approximately 26,400 regular full-time employees and approximately 90 part-time and temporary employees in facilities located in 33 countries. Approximately 15% of our regular full-time employees are located in the United States and Canada, 12% in Europe and Middle Eastern countries and 73% in Asia Pacific and Japan, with approximately 72% engaged in manufacturing, 2% in research and development, 4% in customer service or other aspects of sales and marketing, and 22% in other roles. Approximately 230 of our domestic employees (or approximately 1% of our United States-based employees) are covered by a collective bargaining agreement, and all of these employees are located at our Mountain Top, Pennsylvania manufacturing facility. Certain of our foreign employees are covered by collective bargaining arrangements (e.g., those in China, Vietnam, Japan, the Czech Republic and Belgium) or similar arrangements or are represented by workers councils.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Compensation, Benefits, Health, Safety and Wellness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compensation philosophy is focused on delivering competitive compensation with total rewards based on corporate affordability in a way that enables attraction, retention, and recognition of performance. We provide our employees and their families with access to flexible and convenient health and wellness programs, including benefits that secure them during events that may require time away from work or that impact their financial well-being. We use a combination of total rewards and other programs (which vary by region and salary grade) to attract and retain our employees, including: annual performance bonuses; stock awards, including an employee stock purchase plan; retirement support; healthcare and insurance benefits; business travel and disability insurance; health savings and flexible spending accounts; flexible work schedules, vacation and paid time off; parental leave; paid counseling assistance; education assistance; and on-site services, such as health centers and fitness centers.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Career Growth and Development</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invest resources in professional development and growth as a means of improving employee motivation, performance and retention. Our talent development programs provide employees with the resources they need to help achieve their career goals, build management skills and lead their organizations. We have established a leadership pathway model as a tool for employees to practice and apply learning as part of their development.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Turnover</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employee turnover rates by region and globally. The average tenure of our employees is approximately 11 years and approximately 42% of our employees have been employed by us for more than ten years. We believe our compensation philosophy, along with the career growth and development opportunities we offer, promotes longer employee tenure and reduces voluntary turnover.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information concerning our executive officers as of February 10, 2025 is set forth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Hassane El-Khoury</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Borders>
              <w:top w:val="single" w:sz="8" w:color="CCEEFF"/>
            </w:tcBorders>
            <w:shd w:val="clear" w:color="auto" w:fill="CCEEFF"/>
          </w:tcPr>
          <w:p>
            <w:pPr>
              <w:spacing w:after="0"/>
              <w:rPr>
                <w:sz w:val="19"/>
                <w:szCs w:val="19"/>
                <w:color w:val="auto"/>
              </w:rPr>
            </w:pPr>
          </w:p>
        </w:tc>
        <w:tc>
          <w:tcPr>
            <w:tcW w:w="7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0"/>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Thad Trent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30"/>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Simon Keeton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shd w:val="clear" w:color="auto" w:fill="CCEEFF"/>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President, PSG</w:t>
            </w:r>
          </w:p>
        </w:tc>
      </w:tr>
      <w:tr>
        <w:trPr>
          <w:trHeight w:val="234"/>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Sudhir Gopalswamy</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Group President, ISG and AMG</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our executive officers are also officers of SCI LLC. The present term of office for the officers named above will generally expire on the earliest of their retirement, resignation or removal. There are no family relationships among our executive officers.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Hassane El-Khoury. </w:t>
      </w:r>
      <w:r>
        <w:rPr>
          <w:rFonts w:ascii="Times New Roman" w:cs="Times New Roman" w:eastAsia="Times New Roman" w:hAnsi="Times New Roman"/>
          <w:sz w:val="18"/>
          <w:szCs w:val="18"/>
          <w:color w:val="auto"/>
        </w:rPr>
        <w:t>Mr. El-Khoury was appointed as President, Chief Executive Officer and Director of onsemi in December 2020.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onsemi, he spent 13 years at Cypress Semiconductor Corporation, a semiconductor design and manufacturing company ("Cypress"), serving as Chief Executive Officer from August 2016 to April 2020. During his time at Cypress, he held various positions spanning business unit management, product development, applications engineering and business development. Additionally, Mr. El-Khoury currently serves as Chairman of the board of directors of Leia Inc. He holds a Bachelor of Science in electrical engineering from Lawrence Technological University and a Master's of Engineering Management from Oakland University.</w:t>
      </w:r>
    </w:p>
    <w:p>
      <w:pPr>
        <w:spacing w:after="0" w:line="19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Thad Trent</w:t>
      </w:r>
      <w:r>
        <w:rPr>
          <w:rFonts w:ascii="Times New Roman" w:cs="Times New Roman" w:eastAsia="Times New Roman" w:hAnsi="Times New Roman"/>
          <w:sz w:val="18"/>
          <w:szCs w:val="18"/>
          <w:color w:val="auto"/>
        </w:rPr>
        <w:t>. Mr. Trent was appointed Executive Vice President, Chief Financial Officer and Treasurer of onsemi in February 2021. Mr. Trent has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leadership roles throughout his career, and he currently serves on the board of directors of Leia Inc. He previously served as Chief Financial Officer at Cypress ("Cypress CFO") responsible for strategic planning, accounting, investor relations, tax, corporate development and information technology. He first joined Cypress in 2005, and served as Cypress CFO from June 2014 until its sale to Infineon in April 2020. Under his leadership, Cypress’ revenue increased from $723 million to $2.5 billion, and the enterprise value increased five times during his five-year tenure as Cypress CFO. He is a seasoned finance professional with progressive leadership and management experience with both global publicly held technology companies and startups. Mr. Trent has a proven track record of driving sustainable financial performance, transformative mergers and acquisitions, operational excellence, process efficiency, financial leadership and robust compliance and regulatory control. He earned his Bachelor of Science in business administration and finance at San Diego State University.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Keeton</w:t>
      </w:r>
      <w:r>
        <w:rPr>
          <w:rFonts w:ascii="Times New Roman" w:cs="Times New Roman" w:eastAsia="Times New Roman" w:hAnsi="Times New Roman"/>
          <w:sz w:val="18"/>
          <w:szCs w:val="18"/>
          <w:color w:val="auto"/>
        </w:rPr>
        <w:t>. Mr. Keeton joined onsemi in July 2007 and is currently the Group President, PSG of onsemi. During his career, Mr. Keeton has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management positions within onsemi. Before Mr. Keeton’s promotion to his current role on February 26, 2024, he served as Executive Vice President and General Manager, PSG starting in January 2019. Prior to that role, he was a Senior Vice President and General Manager of the MOSFET Division. From 2012 to 2016, Mr. Keeton served as Vice President and General Manager of the Integrated Circuit Division under our former Standard Products Group. Prior to that time, he served as Vice President and General Manager of the Consumer Products Division from 2009 to 2012 and as Business Unit Director of our Signals and Interface Business Unit from 2007 to 2009. Before joining onsemi, Mr. Keeton served as Strategic Planning Manager of the Digital Enterprise Group of Intel Corporation ("Intel") and held various marketing and business management roles at Vitesse Semiconductor Corporation. He earned a Bachelor of Science degree in computer engineering and a Master of Science Degree in electrical engineering from Michigan State University, and a Master of Business Adminis</w:t>
      </w:r>
      <w:r>
        <w:rPr>
          <w:rFonts w:ascii="Times New Roman" w:cs="Times New Roman" w:eastAsia="Times New Roman" w:hAnsi="Times New Roman"/>
          <w:sz w:val="18"/>
          <w:szCs w:val="18"/>
          <w:color w:val="212529"/>
        </w:rPr>
        <w:t>tration from Pepperdine University – in addition to completing an executive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program from Harvard Business School.</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Sudhir Gopalswamy</w:t>
      </w:r>
      <w:r>
        <w:rPr>
          <w:rFonts w:ascii="Times New Roman" w:cs="Times New Roman" w:eastAsia="Times New Roman" w:hAnsi="Times New Roman"/>
          <w:sz w:val="18"/>
          <w:szCs w:val="18"/>
          <w:color w:val="auto"/>
        </w:rPr>
        <w:t>. Mr. Gopalswamy joined onsemi in March 2022 and is currently the Group President, ISG and AMG of onsemi. He served as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Vice President and General Manager, AMG from April 2023 to February 2024. </w:t>
      </w:r>
      <w:r>
        <w:rPr>
          <w:rFonts w:ascii="Times New Roman" w:cs="Times New Roman" w:eastAsia="Times New Roman" w:hAnsi="Times New Roman"/>
          <w:sz w:val="18"/>
          <w:szCs w:val="18"/>
          <w:color w:val="212529"/>
        </w:rPr>
        <w:t>Prior to April 2023 when he was appointed to lead AMG, Mr. Gopalswamy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was the Chief Strategy Officer driving our corporate strategy development, annual strategic planning cycle and other key initiatives. Before joining onsemi, he served as Principal at Shamago Advisors from March 2021 to March 2022. Mr. Gopalswamy worked at Cypress from 2008 until its 2020 acquisition by Infineon. Following that acquisition, Mr. Gopalswamy was appointed Executive Vice President and Board Member of the Connected Secure Systems Division of Infineon and served in that role until March 2021. Before joining Cypress in 2008, he held leadership positions with ever-increasing scope at Intel and Conexant Systems, Inc. Mr. Gopalswamy holds a Bachelor of Science in electrical engineering from Purdue University, as well as a Master in Business Administration from Duke University, and he has also attended Stanford Directors’ College at Stanford University.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website is </w:t>
      </w:r>
      <w:r>
        <w:rPr>
          <w:rFonts w:ascii="Times New Roman" w:cs="Times New Roman" w:eastAsia="Times New Roman" w:hAnsi="Times New Roman"/>
          <w:sz w:val="18"/>
          <w:szCs w:val="18"/>
          <w:i w:val="1"/>
          <w:iCs w:val="1"/>
          <w:color w:val="auto"/>
        </w:rPr>
        <w:t>www.onsemi.com</w:t>
      </w:r>
      <w:r>
        <w:rPr>
          <w:rFonts w:ascii="Times New Roman" w:cs="Times New Roman" w:eastAsia="Times New Roman" w:hAnsi="Times New Roman"/>
          <w:sz w:val="18"/>
          <w:szCs w:val="18"/>
          <w:color w:val="auto"/>
        </w:rPr>
        <w:t xml:space="preserve">. We make our annual report on Form 10-K, quarterly reports on Form 10-Q, current reports on Form 8-K and other reports and all amendments to those reports available, free of charge, in the "Investor Relations" section of our website as soon as reasonably practicable after we electronically file these materials with, or furnish these materials to, the SEC. Information on or accessible through our website is neither part of, nor incorporated by reference into, this Form 10-K or any other report filed with or furnished to the SEC. You can also find these materials on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5" w:name="page16"/>
    <w:bookmarkEnd w:id="15"/>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as that term is defined in Section 27A of the Securities Act and Section 21E of the Exchange Act. All statements, other than statements of historical facts, included or incorporated in this Form 10-K could be deemed forward-looking statements, particularly statements about our plans, strategies and prospects under the headings "Management’s Discussion and Analysis of Financial Condition and Results of Operations" and "Business." Forward-looking statements are often characterized by words such as "believes," "estimates," "expects," "projects," "may," "will," "intends," "plans," "anticipates," "should" or similar expressions, or by discussions of strategy, plans or intentions. All forward-looking statements in this Form 10-K are made based on our current expectations, forecasts, estimates and assumptions, and involve risks, uncertainties and other factors that could cause results or events to differ materially from those expressed in the forward-looking statements. Important factors that could cause our actual results to differ materially from those anticipated in the forward-looking statements are described below. Readers are cautioned not to place undue reliance on forward-looking statements. We assume no obligation to update such information, which speaks only as of the date made, except as may be required by law.</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and uncertainty, and you should carefully consider the trends, risks and uncertainties described below and other information in this Form 10-K and subsequent reports filed with or furnished to the SEC before making any investment decision with respect to our securities. The risk factors described below are not all of the risks we may face. Other risks not presently known to us or that we currently believe are immaterial may materially affect our business. If any of the following trends, risks or uncertainties actually occurs or continues, our business, financial condition or operating results could be materially and adversely affected, the trading price of our securities could decline, and you could lose all or part of your investment. All forward-looking statements attributable to us or persons acting on our behalf are expressly qualified in their entirety by this cautionary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Risks and Uncertainties Related to Our Business</w:t>
      </w:r>
    </w:p>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manufacturing and other operations required to produce our products are highly dependent on the efficient operation of numerous processes, including processes contingent upon third-party component manufacturers and other service providers, and any disruption in these processes could have a material adverse effect on our business and results of operations.</w:t>
      </w:r>
    </w:p>
    <w:p>
      <w:pPr>
        <w:spacing w:after="0" w:line="5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Our manufacturing network includes multiple owned and third-party facilities, which may each produce one or more components necessary for the assembly of a single product. As a result of this interdependence, an operational disruption at a facility may have a disproportionate impact on our ability to produce many of our products. In the event of a disruption at any such facility, we may be unable to effectively source replacement components on acceptable terms from qualified third parties, in which case our ability to produce many of our products could be materially disrupted or delayed. Conversely, some of our facilities are single source facilities that only produce one of our end-products, and a disruption at any such facility would materially delay or cease production of the related product. In the event of any such operational disruption, we may experience difficulty in beginning production of replacement components or products at new facilities or transferring production to other existing facilities, any of which could result in a loss of future revenues and materially adversely affect our business and results of operations.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for certain manufacturing activities and for the supply of raw materials, we utilize third-party suppliers. Our agreements with these manufacturers typically require us to commit to purchase services based on forecasted product needs, which may be inaccurate, and, in some cases, require longer-term commitments. We are also dependent upon a limited number of highly specialized third-party suppliers for required components and materials for certain of our key technologies. Arranging for replacement manufacturers and suppliers can be time-consuming and costly, and the number of qualified alternative providers can be extremely limited. Our business operations, productivity and customer relations could be materially adversely affected if these contractual relationships were disrupted or terminated, the cost of such services increased significantly, the quality of the services provided deteriorated or our forecasted needs proved to be materially incorrect. Generally, our agreements with suppliers of raw materials impose no minimum or continuing supply obligations, and we obtain our raw materials and supplies from a large number of sources. Shortages could occur in various essential raw materials, and if we are unable to obtain adequate supplies of raw materials in a timely manner, the costs of our raw materials increase significantly, their quality deteriorates or they give rise to compatibility or performance issues in our products, our results of operations could be materially adversely affected.</w:t>
      </w:r>
    </w:p>
    <w:p>
      <w:pPr>
        <w:spacing w:after="0" w:line="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manufacturing efficiency is contingent upon the operations of these interdependent processes and will continue to be an important factor in our future profitability, and there can be no assurance that we will be able to maintain our manufacturing efficiency, increase our manufacturing efficiency to the same extent as our competitors, or be successful in our manufacturing rationalization plans. For example, public health crises may cause disruption to our domestic and international operations. Any associated worker absenteeism, quarantines and restrictions on certain of our employees’ ability to perform their jobs, office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jc w:val="both"/>
        <w:spacing w:after="0" w:line="245" w:lineRule="auto"/>
        <w:rPr>
          <w:sz w:val="20"/>
          <w:szCs w:val="20"/>
          <w:color w:val="auto"/>
        </w:rPr>
      </w:pPr>
      <w:r>
        <w:rPr>
          <w:rFonts w:ascii="Times New Roman" w:cs="Times New Roman" w:eastAsia="Times New Roman" w:hAnsi="Times New Roman"/>
          <w:sz w:val="18"/>
          <w:szCs w:val="18"/>
          <w:color w:val="auto"/>
        </w:rPr>
        <w:t>and factory closures or restrictions, labor shortages, disruptions to ports and other shipping infrastructure, border closures and/or other travel or health-related restrictions could, depending on the magnitude of such effects on our manufacturing activities (or activities of our suppliers, third-party distributors or sub-contractors), cause disruption and delay to our supply chain, manufacturing and product shipments. Such disruption and delays could materially adversely affect our business, results of operations and financial condition.</w:t>
      </w:r>
    </w:p>
    <w:p>
      <w:pPr>
        <w:spacing w:after="0" w:line="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if we are unable to utilize our manufacturing facilities, testing facilities and external manufacturers at expected or minimum purchase obligation levels, or if production capacity increases while revenue does not, the fixed costs and other operating expenses associated with these facilities and arrangements will not be fully absorbed, resulting in higher average unit costs and lower gross profits, which could have a material adverse effect on our results of operations. Further, if we need to rapidly increase our business and manufacturing capacity to meet increases in demand or expedited shipment schedules, this could strain our manufacturing and supply chain operations, and negatively impact our working capital. Moreover, if we are unable to accurately forecast demand for our products, we may purchase more or fewer parts than necessary or incur costs for canceling, postponing or expediting delivery of parts. If we purchase or commit to purchase inventory in anticipation of customer demand that does not materialize, or such inventory is rendered obsolete by the rapid pace of technological change, or if customers reduce, delay or cancel orders, we may incur excess or obsolete inventory charges.</w:t>
      </w:r>
    </w:p>
    <w:p>
      <w:pPr>
        <w:spacing w:after="0" w:line="1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implement certain business strategies and restructuring initiatives and any issue with the pursuit of such strategies and initiatives could materially adversely affect our business and results of operations.</w:t>
      </w:r>
    </w:p>
    <w:p>
      <w:pPr>
        <w:spacing w:after="0" w:line="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may from time to time determine to implement business strategies and restructuring initiatives in order to remain competitive. Because our strategies and restructuring activities may involve changes to many aspects of our business, including the location of our production facilities and personnel and the potential exit of certain product lines and businesses, our ability to successfully do so depends on a number of factors, many of which are outside of our control. If we are not able to effectively manage or efficiently implement these strategies and/or restructuring initiatives for reasons within or outside of our control, then our business operations could be materially adversely affected.</w:t>
      </w:r>
    </w:p>
    <w:p>
      <w:pPr>
        <w:spacing w:after="0" w:line="7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implementation of a business strategy may lead to the disruption of our existing business operations. For example, in light of our goal to achieve net zero emissions by 2040, we may take actions to pursue our goal of generating net-zero emissions that may result in material expenditures that could impact our financial condition or results of operations and/or could disrupt our existing operations. Similarly, the contingent risks associated with transferring our existing operations to an acquirer, as is the case with several transition services being provided in connection with some of our prior divestitures, could materially impact our financial condition or results of operations and/or could disrupt our existing operations, especially if the acquirer is unable to meet its commitments under any transition services agreements or if the acquirer encounters financial difficulty. Furthermore, our increased investment in manufacturing capacity (including increased investment in capacity for SiC-based products and technology), while concurrently divesting other non-strategic operations, may adversely impact our existing operations, require additional management time and effort to implement successfully, and lead to higher than anticipated capital expenditures.</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relation to production of SiC-based products and manufacturing at EFK and at our facilities in Hudson, New Hampshire, the Czech Republic and South Korea, we may face challenges or risks related to: increased capital spending and long-term capital expenditure commitments, installing and qualifying new manufacturing equipment, meeting planned process yields, maintaining suitable quality control and educating or providing employees with the requisite know-how to operate the processes at our expanded manufacturing facilities. There are inherent execution risks in expanding production capacity, whether at one of our own factories or at a third party that we utilize, all of which could increase our costs and negatively impact our operating results.</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to streamline our operations and for efficiency purposes, we are pursuing a number of actions, including the outsourcing of certain internal business processes and the deployment of enhanced end-to-end digital processes (which, in some cases, include the use of AI) for certain business use cases. Such opportunities for improvement and enhanced productivity bring risks associated with managing change, transition costs, and the potential for reduced productivity or user error, in addition to those risks specific to each new process.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to successfully and timely realize the anticipated benefits of these transactions or strategies could have a material adverse effect on our profitability, financial condition or results of operations. In addition, even if we fully execute and implement these activities, there may be other unforeseeable and unintended consequences that could materially adversely impact our profitability and business, including unintended employee attrition or harm to our competitive position. To the extent that we do not achieve the profitability enhancement or other anticipated benefits of strategy or restructuring initiatives, our results of operations may be materially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identify and make the substantial research and development investments or develop new products required to satisfy customer demands, our business, financial condition and results of operations may be materially adversely affected.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develop and bring to</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18"/>
          <w:szCs w:val="18"/>
          <w:color w:val="auto"/>
        </w:rPr>
        <w:t>market enhanced technologies and products. The development of new products is complex and time-consuming, often requiring significant capital investment and lead time for development and testing. We cannot assure you that we will have sufficient resources to maintain the level of investment in research and development required to remain competitive. In addition, the lengthy development cycle for certain of our products could limit our ability to adapt quickly to changes affecting the product markets and requirements of our customers and end-users, and we may be unable to develop innovative responses to our customers’ and end-users’ evolving needs on the timelines they require or at all. There can be no assurance that we will win competitive bid selection processes, known as "design wins," for new products. In addition, design wins do not guarantee that we will make customer sales or generate sufficient revenue to recover design and development investments, realize a return on the capital expended or achieve expected gross margins, as expenditures for technology and product development are generally made before the commercial viability for such developments can be assured. To the extent that we underinvest in our research and development efforts, fail to recognize the need for innovation with respect to our products, or our investments and capital expenditures in research and development do not lead to sales of new products, we may be unable to bring to market technologies and products attractive to customers, and so our business, financial condition and results of operations may be materially adversely affected. Further, products that are commercially viable may not have an immediate impact on our revenue or contribute to our operating results in a meaningful way until at least a few years after they are introduced into the market.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semiconductor industry is characterized by rapidly evolving technologies, innovation, short product life cycles, evolving regulatory and industry standards and certifications, changing customer needs, wide fluctuations in supply and demand and frequent new product introductions. Products are often replaced by more technologically advanced substitutes and, as demand for older technology falls, the price at which such products can be sold drops. If we cannot advance our process technologies or improve our production efficiencies to a degree sufficient to maintain required margins, we will no longer be able to make a profit from the sale of older products. In certain limited cases, we may not be able to cease production of older products, either due to contractual obligations or for customer relationship reasons and, as a result, may be required to bear a loss on such products for a sustained period of time. If reductions in our production costs fail to keep pace with reductions in market prices for products we sell, our business and results of operations could be materially adversely affected. If our new product development efforts fail to align with the needs of our customers, our business and results of operations could be materially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semiconductor industry is highly competitive, and has experienced significant consolidation, and if we are unable to compete effectively or identify attractive opportunities for consolidation, it could materially adversely affect our business and results of operations.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in the highly competitive semiconductor industry depends on elements both within and outside of our control. We face significant competition within each of our product lines from major global semiconductor companies as well as smaller companies focused on specific market niches. In addition, companies not currently in direct competition with us may introduce competing products in the future.</w:t>
      </w:r>
    </w:p>
    <w:p>
      <w:pPr>
        <w:spacing w:after="0" w:line="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are unable to compete effectively, our competitive position could be weakened relative to our peers, which would have a material adverse effect on our business and results of operations. Our future success depends on many factors, including the development of new technologies and effective commercialization and customer acceptance of our products, and our ability to increase our position in current markets, expand into adjacent and new markets, and optimize operational performance. Products or technologies developed by competitors may render our products or technologies obsolete or noncompetitive. We also may be unable to market and sell our products if they are not competitive on the basis of price, quality, technical performance, features, system compatibility, ease of use, customized design, innovation, availability, delivery timing and reliability. If we fail to compete effectively on developing strategic relationships with customers and customer sales and technical support, our sales and revenue may be materially adversely affected. Competitive pressures may limit our ability to raise prices, and any inability to maintain revenue or raise prices to offset increases in costs could have a significant adverse effect on our gross margin. Our gross margins vary due to a variety of factors. Reduced sales and lower gross margins would materially adversely affect our business and results of operations.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semiconductor industry has experienced, and may continue to experience, significant consolidation among companies and vertical integration among customers. Larger competitors resulting from consolidations may have certain advantages over us, and we may be at a competitive disadvantage if we fail to identify attractive opportunities to acquire companies to expand our business. Consolidation among competitors and integration among customers could erode our market share, impair our capacity to compete and require us to restructure operations, any of which could have a material adverse effect on our business.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some of our competitors may receive governmental subsidies or other incentives that give them a competitive advantage over us. For example, the United States and the European Union have enacted legislation to provide funding and incentives for semiconductor research, development, and manufacturing in their respective regions. If we are unable to access such funding or incentives, or if our competitors receive more funding or incentives than we do, we may be at a disadvantage in developing and producing new or improved products or technologies, which could adversely affect our market share, revenue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and profitability.</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our revenue is derived from customers in the automotive and industrial end-markets, including revenue pursuant to our long-term supply agreements, a downturn or lower sales to customers in either end-market could materially adversely affect our business and results of operations.</w:t>
      </w:r>
    </w:p>
    <w:p>
      <w:pPr>
        <w:spacing w:after="0" w:line="6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significant portion of our sales are to customers within the automotive industry and the industrial sector and the demand for our products depends in part on the market conditions in these end-markets. Sales into the automotive and industrial end-markets represented approximately 55% and 25% of our revenue, respectively, for the year ended December 31, 2024. The automotive industry is cyclical and the industrial sector tends to thrive during a time of economic expansion, and, as a result, our customers in each end-market are sensitive to changes in general economic conditions, inflationary pressure, increases in interest rates, disruptive innovation and end-market preferences, which can adversely affect sales of our products and, correspondingly, our results of operations. Changes in demand in these end-markets or changes that have the potential to disrupt sales activities to customers in these end-markets, can significantly impact our operating results. Additionally, the quantity and price of our products sold to customers in each end-market could decline despite continued growth in such end-markets. Lower sales to customers in either end-market may have a material adverse effect on our business and results of operations.</w:t>
      </w:r>
    </w:p>
    <w:p>
      <w:pPr>
        <w:spacing w:after="0" w:line="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Further, to the extent we have long-term supply agreements with our customers in multiple end-markets which includes fixed pricing, we could be subject to fluctuating manufacturing costs that could negatively impact our profitability. Additionally, under our long-term supply agreements, we could incur certain obligations if we are not able to fulfill our commitments. Furthermore, certain customers, from time to time, have sought and may seek to amend or cancel the delivery or other terms of their long-term supply agreements with us. When any such contractual amendments are made, the timing, pricing or amount of products delivered under such long-term supply agreements may be modified in circumstances where we believe it advances the long-term customer relationship. Such an event could have an impact on our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depend, in part, on the performance of independent distributors.</w:t>
      </w:r>
    </w:p>
    <w:p>
      <w:pPr>
        <w:spacing w:after="0" w:line="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 portion of our sales occurs through global and regional distributors that are not under our control. We rely on distributors to grow and develop their customer base and anticipate customer needs, and any lack of such actions by our distributors may adversely affect our results of operations. These independent distributors also generally represent product lines offered by several companies and are not subject to any minimum sales requirements or obligation to market our products to their customers. In turn, distributors could reduce their sales efforts for our products or choose to terminate their representation of us. In addition, in the event a distributor were to face financial difficulty, experience significant operational disruptions or terminate its operations, our revenue and results of operations may be adversely affected. Furthermore, if a significant distributor terminates its operations or were to merge with another distributor, we may be more reliant and dependent on the distribution network of our remaining distributors. Additionally, we rely on our distributors to provide accurate and timely sales reports in order for us to be able to generate financial reports that accurately represent distributor sales of our products during any given period. Any inaccuracies or untimely reports could adversely affect our ability to produce accurate and timely financial reports and recognize revenue.</w:t>
      </w:r>
    </w:p>
    <w:p>
      <w:pPr>
        <w:spacing w:after="0" w:line="2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and the regulatory implementation of, tariffs or other government trade policies or political conditions could reduce demand for our products, limit our ability to sell our products to certain customers or our ability to comply with applicable laws and regulations, which may materially adversely affect our business and results of operations.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imposition of or increase in tariffs, export controls and other trade restrictions as a result of international trade disputes or changes in trade policies or political conditions may adversely affect our sales and profitability. For example, a significant trade disruption, additional tariffs, trade protection measures, export or import regulations or other restrictions imposed related to our business and the related geopolitical uncertainty between the United States, China, Canada, Mexico and other countries or any retaliatory actions from such governments could have a material adverse effect on our business and results of operations.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 specifically, our assembly and test operations facility located in Leshan, China, which is owned by Leshan-Phoenix Semiconductor Company Limited, a joint venture company in which we own 80% of the outstanding equity interests, may be subjected to increased costs or additional trade restrictions stemming from the geopolitical tension between the United States and China. The U.S. Department of Commerce could in the future add additional Chinese companies to its restricted entity list or unverified list or take other actions that could expand licensing requirements or otherwise impact the market for our products and our revenue. These rules may require us to apply for and obtain additional export licenses to supply certain of our products to customers in China, and there is no assurance that we will be issued licenses that we apply for on a timely basis or at all. Additional tariffs, export controls or other trade restrictions between the two countries could materially adversely affect our results of operations.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tariffs on components that we import from certain nations that have imposed, or may in the future impose, tariffs may adversely affect our profitability unless we are able to exclude such components from the tariffs or we raise prices for our products, which may result in our products becoming less attractive relative to products offered by our competitors. To the extent that our sales or profitability are negatively affected by any such tariffs or other trade actions, our business and results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operations may be materially adversely affected.</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international sales and purchases are subject to numerous additional United States and foreign laws and regulations related to import and export matters. For example, licenses or proper license exceptions are required for the shipment of our products to certain countries under applicable export control regulations, including the provisions of the U.S. Export Administration Act. A determination by the United States government or any foreign government that we have failed to comply with trade or export regulations can result in penalties, including fines, administrative, civil or criminal penalties or other liabilities, seizure of products, or, in the extreme case, denial of export privileges or suspension or debarment from government contracts, which could have a material adverse effect on our sales, business and results of operations.</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power technologies used for AI may not capture market share as expected, and issues related to the responsible use of AI may adversely affect our business.</w:t>
      </w:r>
    </w:p>
    <w:p>
      <w:pPr>
        <w:spacing w:after="0" w:line="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extensive range of power technologies are used to help power AI and related data centers and we expect this part of our business to grow. The emergence of big data and new tools such as machine learning and AI that capitalize on the availability of large data sets is leading semiconductor manufacturers to pursue new products and approaches, and there is an intense competition to capture market share in this emerging market. We may not be able to develop and offer the technology solutions that our AI-focused customers demand in a timely manner or effectively, which could have a materially adverse effect on our business. Our failure to commercialize new technologies that can power AI and data centers in a timely manner or at all could result in loss of market share, unanticipated costs, and inventory obsolescence, which could adversely affect our financial results.</w:t>
      </w:r>
    </w:p>
    <w:p>
      <w:pPr>
        <w:spacing w:after="0" w:line="7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with many new emerging technologies, AI presents risks and challenges and increasing legal, social and ethical concerns relating to its responsible use that could affect the adoption of AI. Third-party misuse of AI applications, models, or solutions, or ineffective or inadequate AI development or deployment practices by our customers could cause harm to individuals or society and impair the public’s acceptance of AI, which would in turn adversely affect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attract and retain highly skilled personnel.</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success depends on our ability to attract, motivate and retain highly skilled personnel, including technical, marketing, management and staff personnel, both in the United States and internationally. In the semiconductor industry, the competition for qualified personnel, particularly experienced design engineers and other technical employees, is intense. Furthermore, we have operations in many parts of the world that are currently experiencing a tight labor market for skilled employees. Additionally, we have entered into employment agreements with certain senior executives, but we do not have employment agreements with most of our employees. Many of these employees could leave our company with little or no prior notice and would be free to work for a competitor. Specific elements of our compensation programs may not be competitive with those of our competitors, and there can be no assurance that we will be able to retain our current personnel or recruit the key personnel we require. If one or more of our senior executives or other key personnel are unable or unwilling to continue in their present positions, we may not be able to replace them easily or at all and other senior management may be required to divert attention from other aspects of our business. Loss of the services of, or failure to effectively recruit, qualified personnel could have a material adverse effect on our competitive position and on our business.</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Warranty claims, product liability claims, product recalls, and the failure to comply with the terms and conditions of our contracts, could harm our business, reputation, results of operations and financial condition.</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Manufacturing semiconductors is a highly complex and precise process, requiring production in a tightly controlled, clean environment. Minute impurities in our manufacturing materials, contaminants in the manufacturing environment, manufacturing equipment failures, and other defects can cause our products to be non-compliant with customer requirements or otherwise nonfunctional. We face an inherent business risk of exposure to warranty and product liability claims in the event that our products fail to perform as expected or such failure of our products results, or is alleged to result, in bodily injury or property damage (or both). In addition, if any of our designed products are or are alleged to be defective, we may be required to participate in their recall. As suppliers become more integrally involved in electrical design, OEMs are increasingly expecting them to warrant their products and are looking to them for contributions when faced with product liability claims or recalls. A successful warranty or product liability claim against us in excess of our available insurance coverage, if any, and established reserves, or a requirement that we participate in a product recall, could have material adverse effects on our business, results of operations and financial condition. Additionally, in the event that our products fail to perform as expected or such failure of our products results in a recall, our reputation may be damaged, which could make it more difficult for us to sell our products to existing and prospective customers and could materially adversely affect our business, reputation, results of operations and financial condition. Even if our products meet standard specifications, our customers may attempt to use our products in applications for which our products were not designed or in customer products that were not designed or manufactured properly, resulting in product failures and creating customer satisfaction issues, which may harm our reputation.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Since a defect or failure in our products could give rise to failures in the goods that incorporate them (and claims for consequential damages against our customers from their customers), we may face claims for damages that are disproportionate to the revenue and profits we receive from the products involved. In certain instances, we attempt to limit our liability through our standard terms and conditions or other contractual provisions, but there is no assurance that such limitations will be effective. To the extent we are liable for damages in excess of the revenue and profits received from the products involved, our results of operations and financial condition could be materially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Currency fluctuations, changes in foreign exchange regulations and repatriation delays and costs could have a material adverse effect on our results of operations and financial condition.</w:t>
      </w:r>
    </w:p>
    <w:p>
      <w:pPr>
        <w:spacing w:after="0" w:line="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sizeable sales and operations in the Asia/Pacific region and Europe, and a significant amount of this business is transacted in currency other than U.S. dollars. In addition, while a significant percentage of our cash is generated outside the United States, many of our liabilities, including our outstanding indebtedness, and certain other cash payments, such as share repurchases, are payable in the United States in U.S. dollars. As a result, currency fluctuations and changes in foreign exchange regulations can have a material adverse effect on our liquidity and financial condition.</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repatriation of funds held outside the United States could have adverse tax consequences and could be subject to delay due to required local country approvals or local obligations. Foreign exchange regulations may also limit our ability to convert or repatriate foreign currency. As a result of having a lower amount of cash and cash equivalents in the United States, our financial flexibility may be reduced, which could have a material adverse effect on our ability to make interest and principal payments due under our various debt obligations. Restrictions on repatriation or the inability to use cash held abroad to fund our operations in the United States may have a material adverse effect on our liquidity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Risks and Uncertainties Related to Intellectual Property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are subject to claims of infringement on the IP rights of others, efforts to address such claims could have a material adverse effect on our results of operations.</w:t>
      </w:r>
    </w:p>
    <w:p>
      <w:pPr>
        <w:spacing w:after="0" w:line="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may from time to time be subject to claims that we may be infringing the IP rights of others. If necessary or desirable, we may seek licenses under such IP rights. However, we cannot assure you that we will obtain such licenses or that the terms of any offered licenses will be acceptable to us. The failure to obtain a license from a third party for IP we use could cause us to incur substantial liabilities or to suspend the manufacture or shipment of products or our use of processes requiring such technologies. Further, we may be subject to IP litigation, which could cause us to incur significant expense, materially adversely affect sales of the challenged product or technologies and divert the efforts of our technical and management personnel, whether or not such litigation is resolved in our favor. In the event of an adverse outcome or pursuant to the terms of a settlement of any such litigation, we may be required to: pay substantial damages or settlement costs; indemnify customers or distributors; cease the manufacture, use, sale or importation of infringing products; expend significant resources to develop or acquire non-infringing technologies; discontinue the use of certain processes; or obtain licenses, which may not be available on reasonable terms, to continue the use, development and/or sale of the allegedly infringing technologies.</w:t>
      </w:r>
    </w:p>
    <w:p>
      <w:pPr>
        <w:spacing w:after="0" w:line="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outcome of IP litigation is inherently uncertain and, if not resolved in our favor, could materially adversely affect our business, financial condition and results of operations.</w:t>
      </w:r>
    </w:p>
    <w:p>
      <w:pPr>
        <w:spacing w:after="0" w:line="15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IP we have developed or licensed, our competitive position, business and results of operations could be materially and adversely affected.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enforceability of our patents, trademarks, copyrights, software licenses and other IP is uncertain in certain circumstances. Effective IP protection may be unavailable, limited or not applied for in the United States and internationally. The various laws and regulations governing our registered and unregistered IP assets, patents, trade secrets, trademarks, mask works and copyrights to protect our products and technologies are subject to legislative and regulatory change and interpretation by courts. With respect to our IP generally, we cannot assure you that:</w:t>
      </w:r>
    </w:p>
    <w:p>
      <w:pPr>
        <w:spacing w:after="0" w:line="58" w:lineRule="exact"/>
        <w:rPr>
          <w:sz w:val="20"/>
          <w:szCs w:val="20"/>
          <w:color w:val="auto"/>
        </w:rPr>
      </w:pPr>
    </w:p>
    <w:p>
      <w:pPr>
        <w:ind w:left="660" w:hanging="328"/>
        <w:spacing w:after="0" w:line="24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substantial number of United States or foreign patents and pending patent applications that we employ in our business will not lapse or be invalidated, circumvented, challenged, abandoned or licensed to others;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or future patent applications will be issued or have the coverage originally sought;</w:t>
      </w:r>
    </w:p>
    <w:p>
      <w:pPr>
        <w:spacing w:after="0" w:line="22" w:lineRule="exact"/>
        <w:rPr>
          <w:rFonts w:ascii="Times New Roman" w:cs="Times New Roman" w:eastAsia="Times New Roman" w:hAnsi="Times New Roman"/>
          <w:sz w:val="18"/>
          <w:szCs w:val="18"/>
          <w:color w:val="auto"/>
        </w:rPr>
      </w:pPr>
    </w:p>
    <w:p>
      <w:pPr>
        <w:ind w:left="660" w:hanging="328"/>
        <w:spacing w:after="0" w:line="24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trademarks, copyrights, trade secrets, know-how or mask works that we employ in our business will not lapse or be invalidated, circumvented, challenged, abandoned or licensed to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or future trademark, copyright, or mask work applications will be issued or have the coverage originally sought; or</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be able to successfully enforce our IP rights in the United States or foreign countries.</w:t>
      </w:r>
    </w:p>
    <w:p>
      <w:pPr>
        <w:spacing w:after="0" w:line="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Infringement or misappropriation of our IP could result in lost market and revenue opportunities, and if we are unable to enforce and protect our IP it could have an adverse impact on our competitive position and business. Further, our assertion of IP rights often results in the other party seeking to assert alleged IP rights of its own against us, which may materially and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adversely impact our business. An unfavorable ruling in these sorts of matters could include money damages or an injunction prohibiting us from manufacturing or selling one or more products, which could in turn negatively affect our business, results of operations or cash flows.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some of our products and technologies are not covered by any patents or pending patent applications. We seek to protect our proprietary technologies, including technologies that may not be patented or patentable, in part by confidentiality agreements and, if applicable, inventors’ rights agreements with our collaborators, advisors, employees and consultants. We cannot assure you that these agreements will not be breached, that we will have adequate remedies for any breach or that persons or institutions will not assert rights to IP arising out of our research. Should we be unable to protect our IP, competitors may develop products or technologies that duplicate our products or technologies, benefit financially from innovations for which we bore the costs of development and undercut the sales and marketing of our products, all of which could have a material adverse effect on our business and results of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Risks and Uncertainties Related to Technology and Data Privacy</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Disruptions or breaches of our information technology systems could irreparably damage our reputation and our business, expose us to liability and materially adversely affect our results of operations.</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routinely collect and store sensitive data, including confidential and other proprietary information about our business and our employees, customers, suppliers and business partners. The secure processing, maintenance and transmission of this information is important to our operations and business strategy. We have experienced and expect to continue to experience disruptions, failures or breaches of our information technology environment, such as those caused by computer viruses, illegal hacking, criminal fraud or impersonation, acts of vandalism or terrorism or employee error. Our cybersecurity measures and/or those of our third-party service providers and/or customers may not detect or prevent such security breaches. Although we are not aware of any cybersecurity incidents that have materially affected or are reasonably likely to materially affect our business as of the year ended December 31, 2024, we continue to devote resources to reduce the risk of or alleviate cybersecurity breaches and vulnerabilities and those costs could be significant. Although we maintain a cybersecurity program to manage cybersecurity risks, our efforts may not be successful and could result in interruptions and delays that may materially impede our sales, manufacturing operations, distribution or other critical functions. Any compromise of our information security could result in the misappropriation or unauthorized publication of our confidential business or proprietary information or that of other parties with which we do business, an interruption in our operations, the unauthorized transfer of cash or other of our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liability to customer claims. Further, AI capabilities may be used to identify vulnerabilities and craft increasingly sophisticated cybersecurity attacks. Any of the foregoing could irreparably damage our reputation and business, which could have a material adverse effect on our results of operations. We maintain cyber risk insurance, although an insufficiency of insurance coverage could adversely affect our cash flows and overall profitability. Furthermore, our efforts to comply with evolving laws and regulations related to cybersecurity may be costly and any failure to comply could result in investigations, proceedings, investor lawsuits and reputational damage.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and data protection.</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legislative and regulatory framework for privacy and data protection issues worldwide is rapidly evolving and is likely to remain uncertain for the foreseeable future. We collect Personally Identifiable Information ("PII") and other data as part of our business processes and activities. This data is subject to a variety of laws and regulations, including oversight by various regulatory or other governmental bodies. Many foreign countries and governmental bodies, including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United States. Additionally, within the United States, different states have enacted various regulations governing the treatment of PII.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Company officials or us, including substantial monetary fines, and could damage our reputation, inhibit sales and adversely affect our business.</w:t>
      </w:r>
    </w:p>
    <w:p>
      <w:pPr>
        <w:spacing w:after="0" w:line="6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extensive reliance on, and investments in, information technology systems, including reliance on third-party service providers, could have a materially adverse impact on our business.</w:t>
      </w:r>
    </w:p>
    <w:p>
      <w:pPr>
        <w:spacing w:after="0" w:line="5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rely extensively on information technology systems and related personnel to collect, use, retain, manage, transmit, and protect transactions and data. For these information technology systems, applications, and processes to operate effectively, we or our service providers must maintain and update them. Delays in the maintenance, updates, upgrading, or patching of these systems, applications or processes, as well as the actions taken to maintain, update, upgrade and patch, could impair their effectiveness or expose us to security risks.</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these systems are managed or provided by third-party service providers, including certain cloud platform providers. Failure by these third-party service providers to meet their contractual, regulatory and other obligations to us, or our failure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spacing w:after="0" w:line="241" w:lineRule="auto"/>
        <w:rPr>
          <w:sz w:val="20"/>
          <w:szCs w:val="20"/>
          <w:color w:val="auto"/>
        </w:rPr>
      </w:pPr>
      <w:r>
        <w:rPr>
          <w:rFonts w:ascii="Times New Roman" w:cs="Times New Roman" w:eastAsia="Times New Roman" w:hAnsi="Times New Roman"/>
          <w:sz w:val="18"/>
          <w:szCs w:val="18"/>
          <w:color w:val="auto"/>
        </w:rPr>
        <w:t>adequately monitor their performance, could result in our inability to achieve expected efficiencies and result in additional costs to correct errors made by such service providers. Depending on the function involved and despite the availability of contractual remedies against these providers, such errors can also lead to business disruption, systems performance degradation, processing inefficiencies or other systems disruptions, the loss of or damage to intellectual property or sensitive data through security breaches or otherwise, incorrect or adverse effects on financial reporting, litigation, claims, legal or regulatory proceedings, inquiries or investigations, fines or penalties, remediation costs, damage to our reputation or have a negative impact on employee morale, all of which can materially adversely affect our business.</w:t>
      </w:r>
    </w:p>
    <w:p>
      <w:pPr>
        <w:spacing w:after="0" w:line="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we are currently making, and expect to continue to make, substantial investments in our information technology systems, infrastructure and personnel, in certain cases with the assistance of strategic partners and other third-party service providers. These investments involve replacing existing systems, some of which are older, legacy systems that are less flexible and efficient, with successor systems; outsourcing certain technology and business processes to third-party service providers; making changes to existing systems; maintaining or enhancing legacy systems that are not currently being replaced; designing or cost effectively acquiring new systems with new functionality; or testing the use and incorporation of AI, including generative AI. These efforts could result in significant potential risks, including failure of the systems to operate as designed, unexpected impacts on related systems or processes, potential loss or corruption of data, failures in security processes and internal controls, cost overruns, implementation delays or errors, disruption of operations, and the potential inability to meet business and reporting requirements. Any system implementation and transition difficulty may result in operational challenges, security failures, reputational harm, and increased costs that could adversely affect our business operations, our relationships with our customers,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Risks and Uncertainties Related to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health and safety liabilities and expenditures could materially adversely affect our results of operations and financial condition.</w:t>
      </w:r>
    </w:p>
    <w:p>
      <w:pPr>
        <w:spacing w:after="0" w:line="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semiconductor industry continues to be subject to increasing environmental regulations, particularly those that control and restrict the use, transportation, emission, discharge, storage and disposal of certain chemicals, elements and materials used or produced in the semiconductor manufacturing process. In addition, our operations and those of our suppliers are further governed by regulations focused on conflict minerals and restrictions on other materials, as well as laws or regulations governing the operation of our facilities, sale and distribution of our products, and real property.</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also have operations subject to laws and regulations relating to workplace safety and worker health, which, among other requirements, regulate employee exposure to hazardous substances. We have indemnities from third parties for certain environmental and health and safety liabilities for periods prior to our operations at some of our current and past sites, and we have also purchased environmental insurance to cover certain claims related to historical contamination and future releases of hazardous substances. However, we cannot assure you that such indemnification arrangements and insurance will cover any or all of our material environmental costs. In addition, the nature of our operations exposes us to the continuing risk of environmental and health and safety liabilities including:</w:t>
      </w:r>
    </w:p>
    <w:p>
      <w:pPr>
        <w:spacing w:after="0" w:line="58" w:lineRule="exact"/>
        <w:rPr>
          <w:sz w:val="20"/>
          <w:szCs w:val="20"/>
          <w:color w:val="auto"/>
        </w:rPr>
      </w:pPr>
    </w:p>
    <w:p>
      <w:pPr>
        <w:ind w:left="660" w:hanging="328"/>
        <w:spacing w:after="0" w:line="23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United States and international environmental or health and safety laws, regulations or policies, including, but not limited to, future laws or regulations imposed in response to climate change concerns and conflict minerals;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environmental or health and safety laws or regulations will be enforced, administered or interpreted;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collect under indemnity agreements and insurance policies relating to environmental liabilities;</w:t>
      </w:r>
    </w:p>
    <w:p>
      <w:pPr>
        <w:spacing w:after="0" w:line="22" w:lineRule="exact"/>
        <w:rPr>
          <w:rFonts w:ascii="Times New Roman" w:cs="Times New Roman" w:eastAsia="Times New Roman" w:hAnsi="Times New Roman"/>
          <w:sz w:val="18"/>
          <w:szCs w:val="18"/>
          <w:color w:val="auto"/>
        </w:rPr>
      </w:pPr>
    </w:p>
    <w:p>
      <w:pPr>
        <w:ind w:left="660" w:hanging="328"/>
        <w:spacing w:after="0" w:line="24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compliance with future environmental or health and safety laws or regulations or the costs associated with any future environmental claims, including the cost of clean-up of currently unknown environmental conditions; 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fines, penalties or other legal liability, should we fail to comply with environmental or health and safety laws or regulations.</w:t>
      </w:r>
    </w:p>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incur costs associated with complying with evolving environmental, health and safety laws and regulations and related disclosure obligations such as the Corporate Sustainability Reporting Directive. Failure to comply with these laws or regulations could subject us to significant costs and liabilities. To the extent that we face unforeseen environmental or health and safety compliance costs or remediation expenses or liabilities that are not covered by indemnities or insurance, we may bear the full effect of such costs, expenses and liabilities, which could materially adversely affect our results of operations and financial condition.</w:t>
      </w:r>
    </w:p>
    <w:p>
      <w:pPr>
        <w:spacing w:after="0" w:line="86"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anti-corruption laws could result in penalties that could harm our reputation and have a material adverse effect on our business, financial condition and results of operations.</w:t>
      </w:r>
    </w:p>
    <w:p>
      <w:pPr>
        <w:spacing w:after="0" w:line="6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subject to the FCPA, which generally prohibits companies and their intermediaries from making improper payments to foreign officials for the purpose of obtaining or keeping business and/or other benefits, along with various other anti-corruption laws. Although we have implemented policies and procedures designed to ensure that we, our employees and other intermediaries comply with the FCPA and other anti-corruption laws to which we are subject, there is no assurance that such policies or procedures will work effectively all of the time or protect us against liability under the FCPA or other laws for actions taken by our employees and other intermediaries with respect to our business or any businesses that we may acquire. If</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jc w:val="both"/>
        <w:spacing w:after="0" w:line="250" w:lineRule="auto"/>
        <w:rPr>
          <w:sz w:val="20"/>
          <w:szCs w:val="20"/>
          <w:color w:val="auto"/>
        </w:rPr>
      </w:pPr>
      <w:r>
        <w:rPr>
          <w:rFonts w:ascii="Times New Roman" w:cs="Times New Roman" w:eastAsia="Times New Roman" w:hAnsi="Times New Roman"/>
          <w:sz w:val="18"/>
          <w:szCs w:val="18"/>
          <w:color w:val="auto"/>
        </w:rPr>
        <w:t>we are not in compliance with the FCPA and other laws governing the conduct of business with government entities (including local laws), we may be subject to criminal and civil penalties and other remedial measures, which could have a material adverse impact on our business, financial condition, results of operations and liquidity. Any investigation of any potential violations of the FCPA or other anti-corruption laws by the United States or foreign authorities could harm our reputation and have an adverse impact on our business, financial condition and 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legislation or exposure to additional tax liabilities could adversely affect our results of operations and financial condition.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conduct operations worldwide through our foreign subsidiaries and are, therefore, subject to complex income tax and transfer pricing regulations in the United States and foreign jurisdictions. Changes to, or interpretations of, tax legislation or regulations could significantly increase our effective tax rate or affect our tax obligations and ultimately reduce our cash flow from operating activities. In addition, other factors or events, such as changes to our operating structure, strategy and investment decisions, could also increase our future effective tax rate or affect our tax obligations and ultimately reduce our cash flow from operating activities.</w:t>
      </w:r>
    </w:p>
    <w:p>
      <w:pPr>
        <w:spacing w:after="0" w:line="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Changes in tax laws from international and domestic initiatives, such as the Organization for Economic Co-operation and Development's base erosion and profit shifting project and potential U.S. tax reforms, could adversely affect our future reported results of operations or the way we conduct our business. Most of our income is taxable in the United States with a significant portion qualifying for preferential treatment as foreign-derived intangible income (“FDII”). Beginning in 2026, the effective rate for FDII increases from 13% to 16%. Additionally, if U.S. rates increase and/or the FDII deduction is eliminated or reduced, our provision for income taxes, results of operations, and cash flows could be adversely (potentially materially) affected. Furthermore, if our customers move manufacturing operations to the United States, our FDII deduction may be reduced.</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types of initiatives and changes, if adopted or enacted, may increase tax uncertainty and may adversely affect our provision for income taxes, which could have a material impact on our results of operations and financial condition.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the impact of any new tax legislation may differ from our estimates, possibly materially, due to, among other things, changes in interpretations and assumptions we have made and future regulatory guidance.</w:t>
      </w:r>
    </w:p>
    <w:p>
      <w:pPr>
        <w:spacing w:after="0" w:line="5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Social and environmental responsibility regulations, policies and provisions, as well as customer and investor demands, may make our supply chain more complex and may adversely affect our relationships with customers and investors.</w:t>
      </w:r>
    </w:p>
    <w:p>
      <w:pPr>
        <w:spacing w:after="0" w:line="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With the increasing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In addition, an increasing number of OEMs are seeking to source products that do not contain minerals sourced from areas where proceeds from the sale of such minerals are likely to be used to fund armed conflicts, such as in the Democratic Republic of Congo. This could adversely affect the sourcing, availability and pricing of minerals used in the manufacture of semiconductor devices, including our products. As a result, we may face difficulties in satisfying these customers’ demands, which may harm our sales and operating results.</w:t>
      </w:r>
    </w:p>
    <w:p>
      <w:pPr>
        <w:spacing w:after="0" w:line="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Many investors also expect companies to disclose corporate social and environmental policies, practices and metrics under voluntary disclosure standards and frameworks. We periodically communicate our strategies, goals and targets related to our corporate social and environmental policies and programs. These strategies, goals and targets, and their underlying assumptions and projections, reflect our current plans and aspirations, but we may be unable to achieve them. It is also possible that our investors might not be satisfied with our policies, programs, goals, performance and related disclosures, or the speed of their adoption, implementation and measurable success, or that we have adopted such policies, programs and commitments at all.</w:t>
      </w:r>
    </w:p>
    <w:p>
      <w:pPr>
        <w:spacing w:after="0" w:line="8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addition, unfavorable ratings or assessment of our corporate social and environmental policies and programs, including our compliance with certain voluntary disclosure standards and frameworks, may lead to negative investor sentiment toward us, which could have a negative impact on our stock price and our access to and cost of capital.</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in light of our goal to achieve net zero emissions by 2040, future customer or investor expectations and regulatory requirements, we may take actions to pursue our goal of generating net-zero emissions or to alter our processes that may result in material expenditures that could impact our financial condition or results of operations and/or disrupt our existing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Trends, Risks and Uncertainties Related to Our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could materially adversely affect our financial condition and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had $3,379.9 million of outstanding principal relating to our indebtedness. We may need to incur additional indebtedness in the future to repay or refinance other outstanding debt, to make acquisitions or for other purposes, and if we incur additional debt, the related risks that we now face could intensify. As of December 31, 2024, we had approximately $1.1 billion available for future borrowings under the Revolving Credit Facility. The degree to which we are leveraged could have important consequences to our potential and current investors, including impacting our ability to obtain additional financing in the future for working capital, capital expenditures, acquisitions, and general corporate purposes.</w:t>
      </w:r>
    </w:p>
    <w:p>
      <w:pPr>
        <w:spacing w:after="0" w:line="6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To the extent that we continue to maintain or expand our significant indebtedness, our financial condition and results of operations may be materially adversely affected.</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to meet our obligations under our Credit Agreement could materially and adversely affect us by, among other things, limiting our ability to conduct our operations and reducing our flexibility to respond to changing business and economic conditions.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obligations under the Credit Agreement are collateralized by a lien on substantially all of the assets of the guarantors under the Credit Agreement, including a pledge of the equity interests in certain of our domestic and first-tier foreign subsidiaries. As a result, if we are unable to satisfy our obligations under the Credit Agreement, the lenders could take possession of and foreclose on the pledged collateral securing the indebtedness, in which case we would be at risk of losing the related collateral, which would have a material adverse effect on our business and operations. In addition, the Credit Agreement requires mandatory prepayment if the outstanding amounts drawn thereunder exceed the total commitments, which may result in prepaying outstanding amounts under the Revolving Credit Facility rather than using funds for other business purposes. Our financing structure, and any inability to meet our obligations thereunder, could have a material adverse effect on our business and financial condition, including, among other things, our ability to obtain additional financing for working capital, capital expenditures, acquisitions, and other general corporate purposes and could reduce our flexibility to respond to changing business and economic conditions.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relating to our indebtedness, including the Credit Agreement and the 3.875% Notes, may restrict our ability to operate our business, and as a result may materially adversely affect our results of operations.</w:t>
      </w:r>
    </w:p>
    <w:p>
      <w:pPr>
        <w:spacing w:after="0" w:line="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debt agreements, including the Credit Agreement and the 3.875% Notes, contain, and any future debt agreements may include, a number of restrictive covenants that impose significant operating and financial restrictions on us and our subsidiaries. Such restrictive covenants may significantly limit our ability to: incur additional debt; incur liens; make certain investments or acquisitions; redeem, or otherwise perform our obligations under the terms of, our 3.875% Notes; sell or otherwise dispose of assets; engage in mergers or consolidations or certain other "change of control" transactions; make distributions to our stockholders; engage in restructuring activities; engage in certain sale and leaseback transactions; and issue or repurchase stock or other securities.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agreements may also require us to satisfy other requirements, including maintaining certain financial ratios and condition tests. Our ability to meet these requirements can be affected by events beyond our control, and we may be unable to meet them. To the extent we fail to meet any such requirements and are in default under our debt obligations, our financial condition may be materially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to meet our debt service obligations, and any inability to repay our debt when required would have a material adverse effect on our business, financial condition and results of operations.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generate sufficient cash flow from operating activities to make required payments on our debt obligations will depend on our future financial performance, which will be affected by a range of economic, competitive, and business factors, many of which are outside of our control. If we do not generate sufficient cash to satisfy our debt obligations as they come due, we may have to undertake alternative financing plans, such as refinancing or restructuring our debt, selling additional assets, reducing or delaying capital investments, or seeking to raise additional capital. We cannot assure you that any refinancing would be possible, that any assets could be sold, or, if sold, of the timing of the sales and the amount of proceeds realized from those sales, or that additional financing could be obtained on acceptable terms, if at all, or would be permitted under the terms of our various debt instruments then in effect.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cannot assure you that, if we were required to repurchase any of our debt securities upon a change of control or other specified event, our assets or cash flow would be sufficient to fully repay borrowings under our outstanding debt instruments or that we would be able to refinance or restructure the payments on those debt securities. If we are unable to repay, refinance or restructure our indebtedness under our collateralized debt, the holders of such debt could proceed against the collateral securing that indebtedness, which could materially negatively impact our results of operations and financial condition. A default under our committed credit facilities, including our Credit Agreement, could also limit our ability to make further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those facilities, which could materially adversely affect our business and results of operations. In addition, to the extent we are not able to borrow or refinance debt obligations, we may have to issue additional shares of our common stock, which would have a dilutive effect to the stockholders immediately prior to such issuance.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event of default under any agreement relating to our outstanding indebtedness could cross default other indebtedness, which could have a material adverse effect on our business, financial condition and results of operations.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there were an event of default under certain of our agreements relating to our outstanding indebtedness, the holders of the defaulted debt could cause all amounts outstanding with respect to that debt to be due and payable immediately, which default or acceleration of debt could cross default other indebtedness. Any such cross default would put immediate pressure on our liquidity and financial condition and would amplify the risks described above with regards to being unable to repay our indebtedness when due and payable. We cannot assure you that our assets or cash flow would be sufficient to fully repay borrowings under our outstanding debt instruments if accelerated upon an event of default and, as described above, any inability to repay our debt when due would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operating subsidiaries, which may have no independent obligation to repay our debt, are not able to make cash available to us for such repayment, our business, financial condition and results of operations may be adversely affected.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conduct our operations through our subsidiaries. Repayment of our indebtedness is dependent on the generation of cash flow by our subsidiaries and their ability to make such cash available to us, by dividend, debt repayment or otherwise. Unless they are guarantors of our indebtedness, our subsidiaries have no obligation to pay amounts due on such indebtedness or to make funds available for that purpose. Our subsidiaries may not be able to, or may not be permitted to, make distributions to enable us to make payments in respect of our indebtedness. Each subsidiary is a distinct legal entity, and, under certain circumstances, legal, contractual, governmental, or regulatory restrictions may limit our ability to obtain cash from our subsidiaries. In the event that we do not receive distributions or payments from our subsidiaries, we may be unable to make required principal and interest payments on our indebtedness and, as described above, any inability to repay our debt when due would have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interest rates increase, our debt service obligations under our variable rate indebtedness could increase significantly, which would have a material adverse effect on our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certain of our facilities from time to time, including under our Credit Agreement, are at variable rates of interest and as a result expose us to interest rate risk. Interest rates increased throughout 2022 and 2023. While interest rates have stabilized during 2024, if interest rates increase or remain at elevated levels, our debt service obligations on the variable rate indebtedness would increase even though the amount borrowed remained the same, and our net income and cash flows, including cash available for servicing our indebtedness, will correspondingly decrease. We may not maintain interest rate swaps with respect to all of our variable rate indebtedness, and any swaps we enter into may not fully mitigate our interest rate risk. To the extent the risk materializes and is not fully mitigated, the resulting increase in interest expense could have a material adverse effect on our results of operations. Further, significant changes in our credit rating, disruptions in the global financial markets, including bank failures, or incurrence of new or refinancing of existing indebtedness at higher interest rates could have a material and adverse effect on our access to and cost of capital for future financings, and financial condition.</w:t>
      </w:r>
    </w:p>
    <w:p>
      <w:pPr>
        <w:spacing w:after="0" w:line="18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timing of the cash payments to service the 0% Notes, the 0.50% Notes and the 3.875% Notes is not entirely in our control and may require a significant amount of cash, and we may not have sufficient cash flow or the ability to raise the funds necessary to satisfy these obligations in a timely manner.</w:t>
      </w:r>
    </w:p>
    <w:p>
      <w:pPr>
        <w:spacing w:after="0" w:line="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we had outstanding approximately $804.9 million aggregate principal amount of our 0% Notes, $1,500.0 million aggregate principal amount of our 0.50% Notes and $700.0 million aggregate principal amount of our 3.875% Notes (collectively, the "Outstanding Notes"). Holders of the Outstanding Notes have certain rights that would require us to make repurchases prior to the stated maturity for all or a portion of the amounts due in certain circumstances. For example, holders of the 3.875% Notes have the right to require us to repurchase all of their 3.875% Notes upon the occurrence of certain change of control triggering events accompanied by certain ratings events (as described in the indenture governing the 3.875% Notes) at a repurchase price equal to 101% of their principal amount, plus accrued and unpaid interest, if any, accrued prior to, but not including, the repurchase date.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the Outstanding Notes may require a significant amount of cash, and we may not have sufficient cash flow or the ability to raise the funds necessary to satisfy our obligations under such notes. Our ability to make cash payments in connection with conversions of the 0% Notes or the 0.50% Notes, repurchase any of the Outstanding Notes in the case of an applicable repurchase-triggering event under the respective indentures or repay such notes at maturity will depend on market conditions and our future performance, which is subject to economic, financial, competitive, and other factors beyond our control.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circumstances, a takeover of our Company and similar triggering events could also trigger an option of the holders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the 0% Notes, the 0.50% Notes and the 3.875% Notes to require us to repurchase such notes. This may have the effect of delaying or preventing a takeover of our Company that would otherwise be beneficial to the holders of the 0% Notes, the 0.50% Notes, the 3.875% Notes and our common stock, which could materially decrease the value of such notes and of our common stock.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Credit Agreement and the terms of the 3.875% Notes limit the amount of future indebtedness secured by liens that we may incur. If we incur significantly more debt, this could intensify the risks described above. Our decision to use our cash for other purposes, such as to make acquisitions or to repurchase our common stock, could also intensify these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hedge and warrant transactions we have entered into may materially adversely affect the value of our common stock.</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Concurrently with the issuances of the 0% Notes and the 0.50% Notes, respectively, we entered into note hedge transactions with certain financial institutions, which we refer to as the option counterparties. The convertible note hedges are expected to reduce the potential dilution upon any conversion of the respective series of notes and/or offset any cash payments we are required to make in excess of the principal amount of converted notes of such series, as the case may be. We also entered into warrant transactions with the option counterparties with respect to the 0% Notes and the 0.50% Notes. The warrant transactions could separately have a dilutive effect on our common stock to the extent that the market price per share of our common stock exceeds $74.34, with respect to the 0% Notes and $156.78 with respect to the 0.50% Notes.</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connection with establishing their initial hedge of the convertible note hedges and warrant transactions for the 0% Notes and the 0.50% Notes, the option counterparties or their respective affiliates have purchased shares of our common stock and/or entered into various derivative transactions with respect to our common stock. The option counterparties or their respective affiliates may modify their hedge positions by entering into or unwinding various derivatives contracts with respect to our common stock and/or purchasing or selling our common stock or other securities of ours in secondary market transactions prior to the maturity of such notes. The potential effect, if any, of these transactions and activities on the market price of our common stock will depend in part on market conditions and cannot be ascertained at this time. Any of these activities could materially adversely affect the value of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risk with respect to the note hedge transactions, if realized, could have a material adverse impact on our results of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option counterparties are financial institutions or affiliates of financial institutions, and we are subject to the risk that these option counterparties may default under the note hedge transactions. We can provide no assurances as to the financial stability or viability of any of the option counterparties. Our exposure to the credit risk of the option counterparties is not secured by any collateral. If one or more of the option counterparties to one or more of our note hedge transactions becomes subject to insolvency proceedings, we will become an unsecured creditor in those proceedings with a claim equal to our exposure at the time under those transactions.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the option counterparties do not honor their contractual commitments with us pursuant to the note hedge transactions, we could face a material increase in our exposure to potential dilution upon any conversion of the 0% Notes and/or the 0.50% Notes and/or cash payments we are required to make in excess of the principal amount of converted 0% Notes and/or the 0.50% Notes, as the case may be. Our exposure will depend on many factors but, generally, the increase in our exposure will be correlated to the increase in the market price of our common stock and in the volatility of the market price of our common stock. In addition, upon a default by one of the option counterparties, we may suffer adverse tax consequences with respect to our common stock. Any such adverse tax consequences or increased cash payments could have a material adverse effect on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Risks and Uncertainties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may delay or prevent the acquisition of us, which could materially adversely affect the value of our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make it harder for a third party to acquire us without the consent of our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These provisions:</w:t>
      </w:r>
    </w:p>
    <w:p>
      <w:pPr>
        <w:spacing w:after="0" w:line="85" w:lineRule="exact"/>
        <w:rPr>
          <w:sz w:val="20"/>
          <w:szCs w:val="20"/>
          <w:color w:val="auto"/>
        </w:rPr>
      </w:pPr>
    </w:p>
    <w:p>
      <w:pPr>
        <w:ind w:left="660" w:right="20" w:hanging="328"/>
        <w:spacing w:after="0" w:line="24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submitting nominations for election to the Board of Directors and for proposing matters that can be acted upon by stockholders at a meeting;</w:t>
      </w:r>
    </w:p>
    <w:p>
      <w:pPr>
        <w:ind w:left="660" w:right="20" w:hanging="328"/>
        <w:spacing w:after="0" w:line="23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which is preferred stock that our Board of Directors can create and issue without prior stockholder approval and that could be issued with voting or other rights or preferences that could impede a takeover attempt; and</w:t>
      </w:r>
    </w:p>
    <w:p>
      <w:pPr>
        <w:spacing w:after="0" w:line="10"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by holders of at least 66 2/3% of our outstanding common stock to amend certain of these provisions in our certificate of incorporation or by-laws.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believe these provisions make a higher third-party bid more likely by requiring potential acquirers to negotiate with our Board of Directors, these provisions apply even if an initial offer may be considered beneficial by some stockholders. Any delay or prevention of an acquisition of us that would have been beneficial to our stockholders could materially decrease the value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amount and frequency of our share repurchases are affected by a number of factors and may fluctuate.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adopted a share repurchase program, we are not obligated to repurchase a specified number or dollar value of shares under our share repurchase program or at all. The amount, timing, and purchases under our share repurchase program, if any, are influenced by many factors and may fluctuate based on our operating results, cash flows, and priorities for the use of cash and because of changes in tax laws, and the market price of our common stock. In addition, we cannot guarantee that our share repurchase program will be fully consummated or that it will enhance long-term shareholder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make or integrate strategic acquisitions, joint ventures or strategic investments, which could materially adversely affect our business, results of operations and financial condition.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made, and may continue to make, strategic acquisitions, investments and other alliances including the formation of joint ventures that involve significant risks and uncertainties. Successful acquisitions and alliances in our industry require, among other things, efficient integration and aligning of product offerings and manufacturing operations and coordination of sales and marketing and research and development efforts, often in markets or regions in which we have less experience. Risks related to successful integration of an acquisition include, but are not limited to: (1) the ability to integrate information technology and other systems; (2) issues not discovered in our due diligence; (3) customers responding by changing their existing business relationships with us or the acquired company; (4) diversion of management’s attention from our day to day operations; and (5) loss of key employees post-integration. In addition, we may incur unexpected costs or taxes resulting from the acquisition or integration of the newly acquired business. Missteps or delays in integrating our acquisitions, which could be caused by factors outside of our control, or our failure to realize the expected benefits of the acquisitions on the timeline we anticipate, could materially adversely affect our results of operations and financial condition.</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Depending on the level of our ownership interest in and the extent to which we can exercise control over the acquired business, we may be required by U.S. generally accepted accounting principles ("GAAP") and SEC rules and regulations to consolidate newly acquired businesses into our consolidated financial statements. The acquired businesses may not have independent audited financial statements or statements prepared in accordance with GAAP, or the acquired businesses may have financial controls and systems that are not compatible with our financial controls and systems, any of which could materially impair our ability to properly integrate such businesses into our consolidated financial statements on a timely basis. Any revisions to, inaccuracies in or restatements of our consolidated financial statements due to accounting for our acquisitions could have a material adverse effect our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amortizable intangible assets become impaired, we may be required to record a significant charge to earnings.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acquire other companies and intangible assets and may not realize all the economic benefit from those acquisitions, which could cause an impairment of goodwill or intangible assets.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financial position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Downturns or volatility in general economic conditions, as well as general macroeconomic trends and impacts, could have an adverse impact on our business, results of operations, financial condition and cash flows.</w:t>
      </w:r>
    </w:p>
    <w:p>
      <w:pPr>
        <w:spacing w:after="0" w:line="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Historically, worldwide semiconductor industry sales have tracked the impacts of adverse economic conditions, specifically financial crises, subsequent recoveries and persistent economic uncertainty. Recent global economic slowdowns could continue and potentially result in certain economies dipping into economic recessions, including in the United States.</w:t>
      </w:r>
    </w:p>
    <w:p>
      <w:pPr>
        <w:spacing w:after="0" w:line="6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in the past and could in the future experience period-to-period fluctuations in operating results due to general industry or economic conditions; the onset of an economic recession and volatile or uncertain economic conditions can adversely impact our sales and profitability and make it difficult for us and our competitors to accurately forecast and plan our future business activities. Furthermore, inflationary pressure and increases in interest rates have and may continue to increase our costs, which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could negatively impact revenue, earnings and demand for our products.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general economic conditions, impacts of other macroeconomic events, such as public health crises, geopolitical tensions or conflicts and risks, such as the ongoing conflict in the Middle East and military conflict between Russia and Ukraine, climate change and other severe weather and natural disasters, banking failures and uncertainties in global financial markets, could materially adversely impact our operations by causing disruptions in the geographies in which we and our suppliers, third party distributors and sub-contractors operate. If any of these events impact our supply chain, manufacturing and product shipments could be delayed, which could materially adversely affect our business, results of operations and financial condition. In addition, disruption of transportation and distribution systems could result in reduced operational efficiency and customer service interruption. Such events can negatively impact revenue and earnings and can significantly impact cash flow.</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be subject to or involved in litigation or threatened litigation, the outcome of which may be difficult to predict, and which may be costly to defend, divert management attention, require us to pay damages, or restrict the operation of our business.</w:t>
      </w:r>
    </w:p>
    <w:p>
      <w:pPr>
        <w:spacing w:after="0" w:line="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have been and may be subject to disputes and litigation, with and without merit, that may be costly and which may divert the attention of our management and our resources in general. The results of complex legal proceedings are difficult to predict. Moreover, complaints filed against us may not specify the amount of damages that plaintiffs seek, and we therefore may be unable to estimate the possible range of damages that might be incurred should these lawsuits be resolved against us. Even if we are able to estimate losses related to these actions, the ultimate amount of loss may be materially higher than our estimates. Any resolution of litigation, or threatened litigation, could involve the payment of damages or expenses by us, which may be significant or involve an agreement with terms that restrict the operation of our business. Even if any future lawsuits are not resolved against us, the costs of defending such lawsuits may be significant. There can be no assurance that we are adequately insured to protect against all claims and potential liabilities. Allegations made in the course of legal proceedings may also harm our reputation, regardless of whether there is merit to such claims. We can provide no assurance that additional litigation will not be filed against us in the future. See Note 13: “Commitments and Contingencies – Legal Matters” in the notes to our audited consolidated financial statements included elsewhere in this Form 10-K for more information on our legal proceedings.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legislative developments related to climate change may materially adversely affect our business and financial condition.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jurisdictions have developed or are developing climate change-based laws or regulations that could cause us to incur additional direct costs for compliance, as well as indirect costs resulting from our customers, suppliers, or both incurring additional compliance costs that are passed on to us. These legal and regulatory requirements, as well as heightened investor expectations, on corporate environmental and social responsibility practices and disclosure are subject to change, can be unpredictable and may be difficult and expensive for us to comply with, given the complexity of our supply chain and our significant outsourced manufacturing. If we are unable to comply, or are unable to cause our suppliers to comply, with such policies or provisions or meet the requirements of our customers and investors, a customer may stop purchasing products from us or an investor may sell their shares, or parties may take legal action against us, which could harm our reputation, revenue and results of operations. Any future climate change regulations could also negatively impact our ability to compete with companies situated in areas not subject to such limitations. Given the political significance and uncertainty around the impact of climate change, we cannot predict how legislation and regulation will affect our financial condition, operating performance and ability to compete. Furthermore, increased awareness and any adverse publicity in the global marketplace about potential impacts on climate change by us or others in our industry could harm our reputation. Any of the foregoing could result in a material adverse effect on our business and financial condition.</w:t>
      </w:r>
    </w:p>
    <w:p>
      <w:pPr>
        <w:spacing w:after="0" w:line="3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secure processing, maintenance and transmission of sensitive data, including confidential and other proprietary information about our business and our employees, customers, suppliers and business partners, is important to our operations and business strategy. As a result, cybersecurity and data protection are key components of our long-term strategy.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We use various processes to inform our assessment, identification and management of risk from cybersecurity threats. Key areas of our cybersecurity risk management processes and strategy currently include:</w:t>
      </w:r>
    </w:p>
    <w:p>
      <w:pPr>
        <w:spacing w:after="0" w:line="187" w:lineRule="exact"/>
        <w:rPr>
          <w:sz w:val="20"/>
          <w:szCs w:val="20"/>
          <w:color w:val="auto"/>
        </w:rPr>
      </w:pPr>
    </w:p>
    <w:p>
      <w:pPr>
        <w:jc w:val="both"/>
        <w:ind w:left="660" w:hanging="328"/>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Cross-Functional Collaboration and Coordination</w:t>
      </w:r>
      <w:r>
        <w:rPr>
          <w:rFonts w:ascii="Times New Roman" w:cs="Times New Roman" w:eastAsia="Times New Roman" w:hAnsi="Times New Roman"/>
          <w:sz w:val="18"/>
          <w:szCs w:val="18"/>
          <w:color w:val="auto"/>
        </w:rPr>
        <w:t>. Our Enterprise Cybersecurity Services (“ECS”) team, led by our Chief Information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(“CISO”), has first line responsibility for our cybersecurity risk management processes. The ECS team works in partnership with other internal teams to coordinate efforts, priorities and oversight. These include:</w:t>
      </w:r>
    </w:p>
    <w:p>
      <w:pPr>
        <w:spacing w:after="0" w:line="67" w:lineRule="exact"/>
        <w:rPr>
          <w:rFonts w:ascii="Times New Roman" w:cs="Times New Roman" w:eastAsia="Times New Roman" w:hAnsi="Times New Roman"/>
          <w:sz w:val="18"/>
          <w:szCs w:val="18"/>
          <w:color w:val="auto"/>
        </w:rPr>
      </w:pPr>
    </w:p>
    <w:p>
      <w:pPr>
        <w:ind w:left="1300" w:hanging="320"/>
        <w:spacing w:after="0" w:line="281" w:lineRule="auto"/>
        <w:tabs>
          <w:tab w:leader="none" w:pos="132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Cybersecurity Executive Council (the “Council”), which is composed of key leaders from stakeholder groups throughout the Company, including the CISO and certain members of senior management;</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3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Enterprise Risk Management (“ERM”) team, which is responsible for evaluating and assessing overall enterprise risk, including cybersecurity risk, and advising senior management and the Board regarding our overall risk profile and priorities as they evolve;</w:t>
      </w:r>
    </w:p>
    <w:p>
      <w:pPr>
        <w:spacing w:after="0" w:line="1" w:lineRule="exact"/>
        <w:rPr>
          <w:rFonts w:ascii="Times New Roman" w:cs="Times New Roman" w:eastAsia="Times New Roman" w:hAnsi="Times New Roman"/>
          <w:sz w:val="18"/>
          <w:szCs w:val="18"/>
          <w:color w:val="auto"/>
        </w:rPr>
      </w:pPr>
    </w:p>
    <w:p>
      <w:pPr>
        <w:ind w:left="1300" w:hanging="320"/>
        <w:spacing w:after="0" w:line="281" w:lineRule="auto"/>
        <w:tabs>
          <w:tab w:leader="none" w:pos="13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Audit Department (“IAD”), which monitors certain IT systems controls that are integrated into our larger Sarbanes-Oxley control environment; and</w:t>
      </w:r>
    </w:p>
    <w:p>
      <w:pPr>
        <w:spacing w:after="0" w:line="1" w:lineRule="exact"/>
        <w:rPr>
          <w:rFonts w:ascii="Times New Roman" w:cs="Times New Roman" w:eastAsia="Times New Roman" w:hAnsi="Times New Roman"/>
          <w:sz w:val="18"/>
          <w:szCs w:val="18"/>
          <w:color w:val="auto"/>
        </w:rPr>
      </w:pPr>
    </w:p>
    <w:p>
      <w:pPr>
        <w:ind w:left="1300" w:hanging="320"/>
        <w:spacing w:after="0" w:line="282" w:lineRule="auto"/>
        <w:tabs>
          <w:tab w:leader="none" w:pos="13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 Incident Response Team (“CIRT”), a cross-functional team of subject matter experts from across the Company and certain third-party support providers that we have on retainer.</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Ongoing Evaluation and Assessment of Systems and Processes</w:t>
      </w:r>
      <w:r>
        <w:rPr>
          <w:rFonts w:ascii="Times New Roman" w:cs="Times New Roman" w:eastAsia="Times New Roman" w:hAnsi="Times New Roman"/>
          <w:sz w:val="18"/>
          <w:szCs w:val="18"/>
          <w:color w:val="auto"/>
        </w:rPr>
        <w:t>. We update our information security management system from time to time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and we employ standards and frameworks as we deem necessary to assist us in monitoring compliance with regulatory, industry and evolving data privacy requirements. In addition to periodic in-depth evaluations of our systems and processes, we monitor our IT systems and processes on an ongoing basis with the goal of identifying and remediating real and potential threats as they arise. We adjust our systems, procedures and policies regularly as we deem necessary in response to identified threats and risks.</w:t>
      </w:r>
    </w:p>
    <w:p>
      <w:pPr>
        <w:spacing w:after="0" w:line="221"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Security Awareness Program to Train and Test Personnel</w:t>
      </w:r>
      <w:r>
        <w:rPr>
          <w:rFonts w:ascii="Times New Roman" w:cs="Times New Roman" w:eastAsia="Times New Roman" w:hAnsi="Times New Roman"/>
          <w:sz w:val="18"/>
          <w:szCs w:val="18"/>
          <w:color w:val="auto"/>
        </w:rPr>
        <w:t>. We sponsor a multi-faceted security awareness program that includes mandatory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trainings for our personnel on data protection and malware detection, policy and process awareness, periodic phishing simulations and other kinds of preparedness testing.</w:t>
      </w:r>
    </w:p>
    <w:p>
      <w:pPr>
        <w:spacing w:after="0" w:line="20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 Incident Response Plan</w:t>
      </w:r>
      <w:r>
        <w:rPr>
          <w:rFonts w:ascii="Times New Roman" w:cs="Times New Roman" w:eastAsia="Times New Roman" w:hAnsi="Times New Roman"/>
          <w:sz w:val="18"/>
          <w:szCs w:val="18"/>
          <w:color w:val="auto"/>
        </w:rPr>
        <w:t>. We maintain a cross-functional cyber incident response plan with defined roles, responsibilities and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protocols. This plan, which we evaluate and test on a regular basis, focuses on responding to and recovering from any significant breach as well as mitigating any impact to our business. Generally, when a breach or suspected breach is identified, the ECS team would escalate the issue to the Council for initial analysis and guidance. In the event of a significant breach, the CIRT, overseen by the Council, would typically be tasked with preparing an initial response. The Council (in consultation with, among others, the CIRT) would be responsible for determining whether a particular incident (alone or in combination with other factors) triggers any reporting or notification responsibilities.</w:t>
      </w:r>
    </w:p>
    <w:p>
      <w:pPr>
        <w:spacing w:after="0" w:line="20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Regular Evaluation of Initiatives, Results and Priorities</w:t>
      </w:r>
      <w:r>
        <w:rPr>
          <w:rFonts w:ascii="Times New Roman" w:cs="Times New Roman" w:eastAsia="Times New Roman" w:hAnsi="Times New Roman"/>
          <w:sz w:val="18"/>
          <w:szCs w:val="18"/>
          <w:color w:val="auto"/>
        </w:rPr>
        <w:t>. The ECS team, in consultation with the Council and other members of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updates its strategy at least annually to account for changes in our business strategy, legal and regulatory developments across our geographic footprint, the results of our recent ECS initiatives, and further developments in the cybersecurity threat landscape. In addition, we periodically engage a third-party provider to conduct an external assessment of our security program. The results of this assessment, which are reported to the Audit Committee (and the Board, as appropriate), assist us in determining whether any further changes to our existing policies and practices are warranted.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cybersecurity risk management processes and strategy will continue to evolve as the cybersecurity threat landscape evolves.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indicated above, we engage third-party providers to assist us with our cybersecurity risk management and strategy. Some of these providers provide us with ongoing assistance (such as threat monitoring, mitigation strategies, updates on emerging trends and developments and policy guidance) while we engage others to provide targeted assistance (such as security and forensic expertise) as needed. Prior to exchanging any sensitive data or integrating with any key third-party provider, we assess their security fitness against our risk posture and request changes as we deem necessary.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have not identified any risks from cybersecurity threats (including any previous cybersecurity incidents) that have materially affected the Company, our business strategy, our results of operations or our financial condition. For a discussion of risks from cybersecurity threats that could be reasonably likely to materially affect us, please see our Risk Factors discussion under the heading, “Trends, Risks and Uncertainties Related to Technology and Data Privacy” included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elsewhere in this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Consistent with our overall risk management governance structure, management is responsible for the day-to-day management of cybersecurity risk while our Board and its Audit Committee play an active, ongoing oversight role.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Board Oversight</w:t>
      </w:r>
      <w:r>
        <w:rPr>
          <w:rFonts w:ascii="Times New Roman" w:cs="Times New Roman" w:eastAsia="Times New Roman" w:hAnsi="Times New Roman"/>
          <w:sz w:val="18"/>
          <w:szCs w:val="18"/>
          <w:color w:val="auto"/>
        </w:rPr>
        <w:t>. Our Board has delegated to its Audit Committee specific, first-line responsibility for overseeing major cybersecurity risk exposures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our broader ERM program. Specifically, under its charter, the Audit Committee is responsible for overseeing our cybersecurity posture, risk assessment, strategy and mitigation and for making recommendations to address and resolve any breaches or issues related to the protection or privacy of our data. Management (including our Chief Information Officer (“CIO”) and our CISO) reports at least quarterly to the Audit Committee on information security and data privacy and protection. These presentations address a wide range of topics, including trends in cyber threats and the status of initiatives intended to bolster our security systems and the cyber readiness of our personnel. The Audit Committee chair reports to the full Board on these risk discussions as appropriate. At least annually, the Board meets with members of our ERM team to review and discuss our ERM program, including areas of material risk and how these risks, which may include cybersecurity risk, are being managed and reported to the Board and its committees.</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Management’s Role</w:t>
      </w:r>
      <w:r>
        <w:rPr>
          <w:rFonts w:ascii="Times New Roman" w:cs="Times New Roman" w:eastAsia="Times New Roman" w:hAnsi="Times New Roman"/>
          <w:sz w:val="18"/>
          <w:szCs w:val="18"/>
          <w:color w:val="auto"/>
        </w:rPr>
        <w:t>. Our ECS team is composed of several support teams that address and respond to cyber risk, including cyber risks related to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architecture and engineering, identity and access management and security operations. The ECS team oversees compliance with our cybersecurity framework within the organization and facilitates cybersecurity risk management activities throughout the organization. The ECS team also assists with the review and approval of policies, completes benchmarking against applicable standards, maintains a cyber risk register and oversees the security awareness program.</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ECS team is led by our CISO. Our CISO reports to our CIO who, in turn, reports to our Executive Vice President and Chief Financial Officer. Our CISO has over 20 years of experience in leading global security functions and strategies. Collectively, the other members of our ECS team have decades of relevant education and experience and maintain a wide range of industry certifications. We invest in regular, ongoing cybersecurity training for our ECS team.</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previously, our CISO is a member of the Council, which meets at least quarterly to provide operational direction to the ECS team considering the evolving risk landscape. The ECS team and the Council, through ongoing communication, monitor the prevention, detection, mitigation and remediation of cybersecurity threats and incidents. The CISO, in consultation with the Council and other members of senior management, reports such threats and incidents to the Audit Committee, as appropriate. These reports may be included in, or in addition to, his regular quarterly reports to the Audit Committee.</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corporate headquarters, as well as certain design center and research and development operations, are located in approximately 200,000 square feet of building space on property that we lease in Scottsdale, Arizona. We also own and lease properties around the world for use as sales offices, design centers, research and development labs, warehouses, logistic centers, trading offices and manufacturing support. The size and location of these properties, which are used by all of our reportable segments, change from time to time based on business requirements. We operate distribution centers, which are leased or contracted through a third-party, in locations throughout Asia, Europe and the Americas. See "Business — Resources" included elsewhere in this Form 10-K for information on properties used in our manufacturing operations. While these facilities are primarily used in manufacturing operations, they also include office, utility, laboratory, warehouse and unused space. Additionally, we own and lease research and development facilities located in Belgium, Canada, China, the Czech Republic, Germany, India, Ireland, Israel, Italy, Japan, the Philippines, Singapore, South Korea, Romania, the Slovak Republic, Slovenia, Switzerland, Taiwan, the United Kingdom and the United States. Our joint venture in Leshan, China also owns manufacturing, warehouse, laboratory, office and other unused space.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properties are subject to encumbrances such as mortgages and liens. See Note 9: ''Long-Term Debt'' in the notes to our audited consolidated financial statements included elsewhere in this Form 10-K for further information. In addition, due to local law restrictions, the land upon which our facilities are located in certain foreign locations is subject to varying long-term leases. See "Business — Resources" and "Business — Government Regulation" included elsewhere in this Form 10-K for further details on our properties and environmental regulation.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use a $1 million threshold for disclosing certain proceedings arising under federal, state or local environmental laws when a governmental authority is a party. The Company believes proceedings under this threshold are not material to its business and financial condition. See "Legal Matters" under Note 13: ''Commitments and Contingencies'' in the notes to our audited consolidated financial statements included elsewhere in this Form 10-K for a description of legal proceedings and related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b w:val="1"/>
          <w:bCs w:val="1"/>
          <w:i w:val="1"/>
          <w:iCs w:val="1"/>
          <w:color w:val="auto"/>
        </w:rPr>
        <w:t>. Mine Safety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traded under the symbol "ON" on the Nasdaq Global Select Market. The stock price details can be obtained from the Nasdaq website at www.nasdaq.com. As of February 5, 2025, there were approximately 164 holders of record of our common stock and 421,421,127 shares of common stock outstanding. Holders of record are defined as those stockholders whose shares are registered in their names in our stock records and do not include beneficial owners of common stock whose shares are held in the names of brokers, dealers or clearing agencies.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Stock Performance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graph shows a comparison of the five-year cumulative total stockholder return for onsemi, the PHLX Semiconductor Sector Index ("SOX"), and the Standard and Poor's 500 ("S&amp;P 500"). The comparison assumes $100 was invested on December 31, 2019 in shares of our common stock and in each of the indices shown and assumes that all of the dividends were reinvested. Note that past stock price performance is not necessarily indicative of future stock price performance. The performance graph in this Form 10-K shall be deemed furnished, and not filed, and shall not be deemed incorporated by reference into any filing under the Securities Act or the Exchange Act as a result of this furnishing, except to the extent that we specifically incorporate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147955</wp:posOffset>
            </wp:positionV>
            <wp:extent cx="3857625" cy="2348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5762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neither declared nor paid any cash dividends on our common stock since our initial public offering. Our future dividend policy with respect to our common stock will depend upon our earnings, capital requirements, financial condition, debt restrictions and other factors deemed relevant by our Board of Directors in its sole discretion.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outstanding debt facilities may limit the amount of dividends we are permitted to pay and share repurchases under the Share Repurchase Program (as defined below). We may pay dividends and buy back shares under the Share Repurchase Program in an unlimited amount so long as, after giving effect thereto, the consolidated total net leverage ratio (calculated in accordance with our Credit Agreement) does not exceed 2.75 to 1.00. Additionally, under a different provision, so long as no</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default has occurred and is continuing or results therefrom, our Credit Agreement permits us to pay cash dividends to our common stockholders, buy back shares under the Share Repurchase Program, or a combination thereof, in an amount up to $350.0 million per year. See Note 9: ''Long-Term Debt'' in the notes to the audited consolidated financial statements included elsewhere in this Form 10-K for further discussion of our Credit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quarter ended December 31, 2024:</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3"/>
            <w:vMerge w:val="restart"/>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162"/>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Period </w:t>
            </w:r>
            <w:r>
              <w:rPr>
                <w:rFonts w:ascii="Times New Roman" w:cs="Times New Roman" w:eastAsia="Times New Roman" w:hAnsi="Times New Roman"/>
                <w:sz w:val="23"/>
                <w:szCs w:val="23"/>
                <w:b w:val="1"/>
                <w:bCs w:val="1"/>
                <w:color w:val="auto"/>
                <w:vertAlign w:val="superscript"/>
              </w:rPr>
              <w:t>(1)</w:t>
            </w:r>
          </w:p>
        </w:tc>
        <w:tc>
          <w:tcPr>
            <w:tcW w:w="178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 ($</w:t>
            </w:r>
          </w:p>
        </w:tc>
        <w:tc>
          <w:tcPr>
            <w:tcW w:w="0" w:type="dxa"/>
            <w:vAlign w:val="bottom"/>
          </w:tcPr>
          <w:p>
            <w:pPr>
              <w:spacing w:after="0"/>
              <w:rPr>
                <w:sz w:val="1"/>
                <w:szCs w:val="1"/>
                <w:color w:val="auto"/>
              </w:rPr>
            </w:pPr>
          </w:p>
        </w:tc>
      </w:tr>
      <w:tr>
        <w:trPr>
          <w:trHeight w:val="216"/>
        </w:trPr>
        <w:tc>
          <w:tcPr>
            <w:tcW w:w="4020" w:type="dxa"/>
            <w:vAlign w:val="bottom"/>
            <w:gridSpan w:val="2"/>
            <w:vMerge w:val="continue"/>
          </w:tcPr>
          <w:p>
            <w:pPr>
              <w:spacing w:after="0"/>
              <w:rPr>
                <w:sz w:val="18"/>
                <w:szCs w:val="18"/>
                <w:color w:val="auto"/>
              </w:rPr>
            </w:pPr>
          </w:p>
        </w:tc>
        <w:tc>
          <w:tcPr>
            <w:tcW w:w="1780" w:type="dxa"/>
            <w:vAlign w:val="bottom"/>
            <w:gridSpan w:val="3"/>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80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w w:val="93"/>
              </w:rPr>
              <w:t xml:space="preserve">Share ($) </w:t>
            </w:r>
            <w:r>
              <w:rPr>
                <w:rFonts w:ascii="Times New Roman" w:cs="Times New Roman" w:eastAsia="Times New Roman" w:hAnsi="Times New Roman"/>
                <w:sz w:val="21"/>
                <w:szCs w:val="21"/>
                <w:b w:val="1"/>
                <w:bCs w:val="1"/>
                <w:color w:val="auto"/>
                <w:w w:val="93"/>
                <w:vertAlign w:val="superscript"/>
              </w:rPr>
              <w:t>(2)</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74"/>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in millions) ($) </w:t>
            </w:r>
            <w:r>
              <w:rPr>
                <w:rFonts w:ascii="Times New Roman" w:cs="Times New Roman" w:eastAsia="Times New Roman" w:hAnsi="Times New Roman"/>
                <w:sz w:val="21"/>
                <w:szCs w:val="21"/>
                <w:b w:val="1"/>
                <w:bCs w:val="1"/>
                <w:color w:val="auto"/>
                <w:w w:val="96"/>
                <w:vertAlign w:val="superscript"/>
              </w:rPr>
              <w:t>(3)</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September 28, 2024 - October 25, 2024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October 26, 2024 - November 22, 2024</w:t>
            </w:r>
          </w:p>
        </w:tc>
        <w:tc>
          <w:tcPr>
            <w:tcW w:w="17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1,986.0</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November 23, 2024 -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3,000,140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0" w:type="dxa"/>
            <w:vAlign w:val="bottom"/>
          </w:tcPr>
          <w:p>
            <w:pPr>
              <w:spacing w:after="0"/>
              <w:rPr>
                <w:sz w:val="1"/>
                <w:szCs w:val="1"/>
                <w:color w:val="auto"/>
              </w:rPr>
            </w:pPr>
          </w:p>
        </w:tc>
      </w:tr>
      <w:tr>
        <w:trPr>
          <w:trHeight w:val="22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3,000,140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periods represent our fiscal month start and end dates for the fourth quarter of 2024.</w:t>
      </w:r>
    </w:p>
    <w:p>
      <w:pPr>
        <w:spacing w:after="0" w:line="55"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price per share is based on the fair market value at the time of tender, repurchase or exercise of outstanding put options, respectively.</w:t>
      </w:r>
    </w:p>
    <w:p>
      <w:pPr>
        <w:spacing w:after="0" w:line="42" w:lineRule="exact"/>
        <w:rPr>
          <w:rFonts w:ascii="Times New Roman" w:cs="Times New Roman" w:eastAsia="Times New Roman" w:hAnsi="Times New Roman"/>
          <w:sz w:val="23"/>
          <w:szCs w:val="23"/>
          <w:color w:val="auto"/>
          <w:vertAlign w:val="superscript"/>
        </w:rPr>
      </w:pPr>
    </w:p>
    <w:p>
      <w:pPr>
        <w:ind w:left="500" w:hanging="492"/>
        <w:spacing w:after="0" w:line="212" w:lineRule="auto"/>
        <w:tabs>
          <w:tab w:leader="none" w:pos="48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authorized amount remaining under the Share Repurchase Program (as defined below) announced on February 6, 2023 to repurchase up to $3.0 billion of shares of our common stock through December 31, 2025 (exclusive of fees, commissions and other expenses).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February 2023, the Board of Directors approved a share repurchase program (the “Share Repurchase Program”), which allows for the repurchase of our common stock from time to time through a variety of methods, including in privately negotiated transactions or open market transactions, such as pursuant to a trading plan in accordance with Rule 10b5-1 and Rule 10b-18 of the Exchange Act or a combination of methods. The Share Repurchase Program, which does not require us to purchase any minimum amount of our common stock, allows for repurchases up to $3.0 billion from February 8, 2023 through December 31, 2025 (exclusive of fees, commissions and other expenses). Any repurchases will be at the Company’s discretion and will be subject to market conditions, the price of our shares and other factors. The Share Repurchase Program may be modified, suspended or terminated by the Board of Directors at any time without prior notice.</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repurchases under the Share Repurchase Program amounted to an aggregate purchase price of approximately $650 million during the year ended December 31, 2024 (excluding fees, commissions and other expenses). There were approximately $564 million in repurchases of common stock for the year ended December 31, 2023 and approximately $260 million in repurchases of common stock under the previous share repurchase program during the year ended December 31, 2022 (in each case excluding fees, commissions and other expenses).</w:t>
      </w:r>
    </w:p>
    <w:p>
      <w:pPr>
        <w:spacing w:after="0" w:line="20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During January 2025, the Company acquired 1.6 million shares for $100.0 million under the Share Repurchase Program pursuant to a 10b5-1 trading arrangement.</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10: ''Earnings Per Share and Equity'' of the notes to our audited consolidated financial statements included elsewhere in this Form 10-K for further information on the Share Repurchase Program.</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our audited historical consolidated financial statements, including the notes thereto, which are included elsewhere in this Form 10-K. Management's Discussion and Analysis of Financial Condition and Results of Operations contains statements that are forward-looking. These statements are based on current expectations and assumptions that are subject to risk, uncertainties, and other factors and speak only as of the filing date. Actual results could differ materially because of the factors discussed in "Risk Factors" and elsewhere in this Form 10-K.</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executive overview presents summarized information regarding our business and operating trends only. For further details, please read "Management's Discussion and Analysis of Financial Condition and Results of Operations" in its entirety.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onsemi Results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 for the year ended December 31, 2024 was $7,082.3 million, representing a decrease of 14.2% from $8,253.0 million for the year ended December 31, 2023. During 2024, we reported net income attributable to onsemi of $1,572.8 million compared to $2,183.7 million in 2023. Our operating income totaled $1,767.7 million during 2024 compared to $2,538.7 million during 2023. Our gross margin decreased by approximately 170 basis points to 45.4% in 2024 from 47.1% in 2023. The decrease in our operating results was primarily due to decreased demand in our automotive and industrial end-markets resulting in lower sales volumes and the corresponding underutilization of our manufacturing facilities. See discussion under "Results of Operations" for the reasons for the fluctuations year-over-year.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and Macroeconomic Environment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semiconductor industry has traditionally been highly cyclical, has often experienced significant downturns in connection with, or in anticipation of, declines in general economic conditions. During 2024, the semiconductor industry continued to experience a softening demand and uncertainty due to macroeconomic factors and the geopolitical environment. We are monitoring the economic environment and related forecasts for indicators that would suggest the global economic slowdown could continue for an extended period. Given the current conditions, we are actively managing and have taken corrective actions in our manufacturing capacity and spending to align with the forecasted demand. We intend to continue these actions during 2025; however, we believe the current volatility in general economic conditions is not expected to have a significant impact on our long-term strategic and growth initiatives.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evaluate cost-saving initiatives to be able to align our overall cost structure, capital investments and other expenditures with our expected revenue, spending and capacity levels to help offset softening demand, increased manufacturing and operating costs. We have taken, and continue to take actions, including but not limited to, exiting product lines that do not enhance gross margin or satisfy strategic objectives and aligning internal manufacturing capacity and resources to external demand.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7: ''Restructuring, Asset Impairments and Other Charges, net'' in the notes to our audited consolidated financial statements included elsewhere in this Form 10-K for information relating to our most recent cost-saving initiatives.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discussion of our results of operations for the year ended December 31, 2024 compared to December 31, 2023 is included below. For a discussion and comparison of the results of our operations for the year ended December 31, 2023 with the year ended December 31, 2022, refer to "Management's Discussion and Analysis of Financial Conditions and Results of Operations" in our Form 10-K for the year ended December 31, 2023 filed with the SEC on February 5, 2024.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table summarizes certain information relating to our operating results that has been derived from our audited consolidated financial statements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asset impairments and other charges,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refinancing and prepayment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divestiture of businesses</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ON Semiconductor Corporation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following table summarizes certain information relating to our segment results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1"/>
                <w:szCs w:val="21"/>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As a % of Total</w:t>
            </w:r>
          </w:p>
        </w:tc>
        <w:tc>
          <w:tcPr>
            <w:tcW w:w="280" w:type="dxa"/>
            <w:vAlign w:val="bottom"/>
          </w:tcPr>
          <w:p>
            <w:pPr>
              <w:spacing w:after="0"/>
              <w:rPr>
                <w:sz w:val="21"/>
                <w:szCs w:val="21"/>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21"/>
                <w:szCs w:val="21"/>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As a % of Total</w:t>
            </w:r>
          </w:p>
        </w:tc>
        <w:tc>
          <w:tcPr>
            <w:tcW w:w="16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Dollar Change</w:t>
            </w: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r>
      <w:tr>
        <w:trPr>
          <w:trHeight w:val="229"/>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48"/>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3620" w:type="dxa"/>
            <w:vAlign w:val="bottom"/>
            <w:shd w:val="clear" w:color="auto" w:fill="CCEEFF"/>
          </w:tcPr>
          <w:p>
            <w:pPr>
              <w:jc w:val="center"/>
              <w:ind w:right="229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29"/>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r>
      <w:tr>
        <w:trPr>
          <w:trHeight w:val="229"/>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48"/>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3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PSG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30"/>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ISG</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48"/>
        </w:trPr>
        <w:tc>
          <w:tcPr>
            <w:tcW w:w="3620" w:type="dxa"/>
            <w:vAlign w:val="bottom"/>
            <w:tcBorders>
              <w:bottom w:val="single" w:sz="8" w:color="CCEEFF"/>
            </w:tcBorders>
            <w:shd w:val="clear" w:color="auto" w:fill="CCEEFF"/>
          </w:tcPr>
          <w:p>
            <w:pPr>
              <w:jc w:val="center"/>
              <w:ind w:right="2250"/>
              <w:spacing w:after="0"/>
              <w:rPr>
                <w:sz w:val="20"/>
                <w:szCs w:val="20"/>
                <w:color w:val="auto"/>
              </w:rPr>
            </w:pPr>
            <w:r>
              <w:rPr>
                <w:rFonts w:ascii="Times New Roman" w:cs="Times New Roman" w:eastAsia="Times New Roman" w:hAnsi="Times New Roman"/>
                <w:sz w:val="18"/>
                <w:szCs w:val="18"/>
                <w:color w:val="auto"/>
                <w:w w:val="94"/>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hanging="492"/>
        <w:spacing w:after="0" w:line="229" w:lineRule="auto"/>
        <w:tabs>
          <w:tab w:leader="none" w:pos="48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first quarter of 2024, the Company reorganized certain reporting units and its segment reporting structure. As a result of the reorganization of divisions within PSG and AMG, the prior-period amounts have been reclassified to conform to current-period presentation.</w:t>
      </w:r>
    </w:p>
    <w:p>
      <w:pPr>
        <w:spacing w:after="0" w:line="60" w:lineRule="exact"/>
        <w:rPr>
          <w:rFonts w:ascii="Times New Roman" w:cs="Times New Roman" w:eastAsia="Times New Roman" w:hAnsi="Times New Roman"/>
          <w:sz w:val="23"/>
          <w:szCs w:val="23"/>
          <w:color w:val="auto"/>
          <w:vertAlign w:val="superscript"/>
        </w:rPr>
      </w:pPr>
    </w:p>
    <w:p>
      <w:pPr>
        <w:ind w:left="480" w:hanging="472"/>
        <w:spacing w:after="0"/>
        <w:tabs>
          <w:tab w:leader="none" w:pos="48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Gross profit margin as a percent of respective segment revenue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Revenue was $7,082.3 million and $8,253.0 million for 2024 and 2023, respectively. The decrease from 2023 to 2024 of $1,170.7 million, or 14.2%, </w:t>
      </w:r>
      <w:r>
        <w:rPr>
          <w:rFonts w:ascii="Times New Roman" w:cs="Times New Roman" w:eastAsia="Times New Roman" w:hAnsi="Times New Roman"/>
          <w:sz w:val="16"/>
          <w:szCs w:val="16"/>
          <w:color w:val="auto"/>
        </w:rPr>
        <w:t>w</w:t>
      </w:r>
      <w:r>
        <w:rPr>
          <w:rFonts w:ascii="Times New Roman" w:cs="Times New Roman" w:eastAsia="Times New Roman" w:hAnsi="Times New Roman"/>
          <w:sz w:val="18"/>
          <w:szCs w:val="18"/>
          <w:color w:val="auto"/>
        </w:rPr>
        <w:t>as attributable to lower sales volumes across all segments, which are further explained below. We had one customer, a distributor, whose revenue accounted for approximately 10% of our total revenue for the year ended December 31, 2024. There was no customer whose revenue exceeded 10% of total revenue for the year ended December 31,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PSG</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from PSG decreased by $532.2 million, or approximately 13.7%, during 2024 compared to 2023. Revenue from our Multi-Market Power Division, Industrial Power Division and Automotive Power Division decreased by $250.8 million, $162.2 million and $119.1 million, respectively, primarily driven by a decrease in demand in the automotive and industrial end-markets.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AMG</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from AMG decreased by $448.0 million, or approximately 14.7%, during 2024 compared to 2023. Revenue from our Power Management Division, Sensor Interface Division and Integrated Circuit Division decreased by $269.1 million, $101.5 million and $77.4 million, respectively, also due to the decrease in demand in the automotive and industrial end-markets.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ISG</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from ISG decreased by $190.5 million, or approximately 14.5%, during 2024 compared to 2023, which was driven by a decrease in revenue from our Industrial and Consumer Solutions Division and Automotive Sensing Division of $107.8 million and $82.7 million, respectively, primarily due to the decrease in demand in the automotive and industrial end-markets.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based on sales billed from the respective country or regions, was as follows (dollars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6"/>
                <w:szCs w:val="16"/>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As a % of</w:t>
            </w:r>
          </w:p>
        </w:tc>
        <w:tc>
          <w:tcPr>
            <w:tcW w:w="340" w:type="dxa"/>
            <w:vAlign w:val="bottom"/>
          </w:tcPr>
          <w:p>
            <w:pPr>
              <w:spacing w:after="0"/>
              <w:rPr>
                <w:sz w:val="16"/>
                <w:szCs w:val="16"/>
                <w:color w:val="auto"/>
              </w:rPr>
            </w:pPr>
          </w:p>
        </w:tc>
        <w:tc>
          <w:tcPr>
            <w:tcW w:w="108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6"/>
                <w:szCs w:val="16"/>
                <w:color w:val="auto"/>
              </w:rPr>
            </w:pPr>
          </w:p>
        </w:tc>
        <w:tc>
          <w:tcPr>
            <w:tcW w:w="15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As a % of</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16"/>
                <w:szCs w:val="16"/>
                <w:b w:val="1"/>
                <w:bCs w:val="1"/>
                <w:color w:val="auto"/>
                <w:w w:val="96"/>
              </w:rPr>
              <w:t xml:space="preserve">Revenue </w:t>
            </w:r>
            <w:r>
              <w:rPr>
                <w:rFonts w:ascii="Times New Roman" w:cs="Times New Roman" w:eastAsia="Times New Roman" w:hAnsi="Times New Roman"/>
                <w:sz w:val="21"/>
                <w:szCs w:val="21"/>
                <w:b w:val="1"/>
                <w:bCs w:val="1"/>
                <w:color w:val="auto"/>
                <w:w w:val="96"/>
                <w:vertAlign w:val="superscript"/>
              </w:rPr>
              <w:t>(1)</w:t>
            </w: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ind w:right="316"/>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Revenue </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23"/>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of the amounts may not total due to rounding of individual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Gross profit was $3,216.1 million and $3,883.5 million for 2024 and 2023, respectively, representing a decrease of $667.4 million or approximately 17.2%. This was primarily due to the decline in sales volume in both our existing products and new products which negatively impacted gross profit by approximately $630 million and $122 million, respectively. This was partially offset by a reduction in the lower-margin manufacturing services revenue at our EFK location which favorably impacted gross profit by approximately $85 million.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margin decreased by 1.7 percentage points from 47.1% for the year ended December 31, 2023 to 45.4% for the year ended December 31, 2024, primarily due to the impact of the factors explained in the segment gross margin sections below.</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PSG gross profit decreased by $437.4 million, primarily driven by the decline in sales volume in both existing products and new products which negatively impacted gross profit by approximately $316 million and $121 million, respectively. PSG gross margin decreased by 5.6 percentage points to 41.3% from 47.0%, primarily as a result of the decline in volume, underutilization of our manufacturing facilities, and the related impact of unfavorable product mix.</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AMG gross profit decreased by $115.1 million, primarily driven by the decline in sales volume from existing products, which negatively impacted gross profit by approximately $200 million, partially offset by improved gross profit of approximately $85 million from the lower-margin manufacturing services at our EFK location. AMG gross margin increased by 3.6 percentage points to 50.1% from 46.5%, primarily due to the reduction in the lower-margin manufacturing services revenue at our EFK location.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ISG gross profit decreased by $114.9 million, primarily driven by the decline in sales volume from existing products. ISG gross margin decreased 2.0 percentage points to 46.7% from 48.7%, primarily driven by lower sales volumes and the related impact of the underutilization of our manufacturing facilities, along with unfavorable changes in product mix.</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$612.7 million and $577.3 million, or approximately 9% and 7% of revenue for 2024 and 2023, respectively, representing an increase of $35.4 million, or approximately 6% year-over-year. The increase was primarily due to an increase in payroll-related expenses and production supplies, partially offset by a decrease in variable compensation.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and marketing expenses were $273.5 million and $279.1 million, or approximately 4% and 3% of revenue for 2024 and 2023, respectively, representing a decrease of $5.6 million, or approximately 2% year-over-year. The decrease was primarily related to a decrease in sales commissions and variable compensation.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$376.3 million and $362.4 million, or approximately 5% and 4% of revenue for 2024 and 2023, respectively, representing an increase of $13.9 million, or approximately 4% year-over-year. The increase was primarily due to increased consulting fees associated with information technology initiatives partially offset by a decrease in the bad debt provision with a strategic business partner which was recorded in the prior year.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Acquisition-Related Intangible Assets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of acquisition-related intangible assets was $52.0 million and $51.1 million for 2024 and 2023, respectively, representing an increase of $0.9 million, or approximately 2%, year-over-year. Expenses were consistent between periods as there were no significant acquisitions or divestitures.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Asset Impairments and Other Charges, net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Restructuring, asset impairments and other charges, net was $133.9 million and $74.9 million for 2024 and 2023, respectively, representing an increase of $59.0 million. Amounts incurred during 2024 primarily represent severance and asset impairment charges associated with the 2024 business realignment efforts. Charges in 2023 related primarily to the business realignment efforts during 2023. For additional information, see Note 7: ''Restructuring, Asset Impairments and Other Charges, net'' in the notes to our audited consolidated financial statements included elsewhere in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expense decreased by $12.5 million, or approximately 17%, to $62.3 million during 2024 compared to $74.8 million in 2023. The decrease was primarily due to the pay down of higher variable-rate debt and replacement by the 0.50% Notes in 2023. Our average gross amount of long-term debt balance (including current maturities) during 2024 and 2023 was $3,379.9 million and $3,304.1 million, respectively. Our weighted average interest rate on our gross amount of long-term debt (including current maturities) was 1.8% and 2.3% per annum in 2024 and 2023,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increased by $18.3 million, or approximately 20%, to $111.4 million during 2024 compared to $93.1 million in 2023, primarily due to higher interest rates and increased balances in interest-bearing accounts.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"Key Financing and Capital Events" below and Note 9: ''Long-Term Debt'' in the notes to our audited consolidated financial statements included elsewhere in this Form 10-K for a description of our indebtedness and our refinancing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Debt Refinancing and Prepayment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were no debt refinancing or prepayment transactions during 2024. We recorded a loss on debt refinancing and prepayment of $13.3 million during 2023, due to the write-off relating to the repayment of the Term Loan "B" Facility. See "Key Financing and Capital Events" below and Note 9: ''Long-Term Debt'' in the notes to our audited consolidated financial statements included elsewhere in this Form 10-K for a description of our indebtedness and our refinancing activities.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 (expense), net was income of $20.6 million in 2024, compared to expense of $7.2 million in 2023. We received $9.5 million of dividend income in 2024 with no corresponding amounts in 2023. Actuarial gains on pension plans were $12.2 million compared to losses of $4.0 million during 2023 and fluctuations in foreign currencies resulting in increased transaction gains.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an income tax provision of $262.8 million and $350.2 million in 2024 and 2023, respectively, representing effective tax rates of 14.3% and 13.8%.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Note 16: ''Income Taxes'' in the notes to the audited consolidated financial statements included elsewhere in this Form 10-K.</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on hand, cash generated from operations, available borrowings under our Revolving Credit Facility as well as new debt and/or equity issuances. In the near term, we expect to fund our cash requirements by utilizing any or a combination of these principal sources. Our cash and cash equivalents and short-term investments were approximately $2,691.3 million and $300.0 million, respectively, as of December 31, 2024 and our Revolving Credit Facility had approximately $1.1 billion available for future borrowings as of December 31,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require cash to: (i) fund our operating expenses, working capital requirements, outlays for strategic acquisitions and investments; (ii) service our debt, including principal and interest; (iii) incur capital expenditures; and (iv) repurchase our common stock. During the ordinary course of business, we evaluate our cash requirements and, if necessary, adjust our expenditures to reflect the current market conditions and our projected sales and demand. Future capital expenditures may be impacted by events and transactions that are not currently forecasted.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key factors that could adversely affect our internal and external sources of cash include:</w:t>
      </w:r>
    </w:p>
    <w:p>
      <w:pPr>
        <w:spacing w:after="0" w:line="225" w:lineRule="exact"/>
        <w:rPr>
          <w:sz w:val="20"/>
          <w:szCs w:val="20"/>
          <w:color w:val="auto"/>
        </w:rPr>
      </w:pPr>
    </w:p>
    <w:p>
      <w:pPr>
        <w:jc w:val="both"/>
        <w:ind w:left="660" w:hanging="328"/>
        <w:spacing w:after="0" w:line="24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products, competitive pricing pressures, supply chain constraints, effective management of our manufacturing capacity, our ability to achieve further reductions in operating expenses, our ability to make progress on the achievement of our business strategy and sustainability goals, the impact of our restructuring programs on our production and cost efficiency and our ability to make the research and development expenditures required to remain competitive in our business; and</w:t>
      </w:r>
    </w:p>
    <w:p>
      <w:pPr>
        <w:spacing w:after="0" w:line="22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and equity capital markets could impact our ability to obtain needed financing on acceptable terms or to respond to business opportunities and developments as they arise, including interest rate fluctuations, macroeconomic conditions, sudden reductions in the general availability of lending from banks or the related increase in cost to obtain bank financing and our ability to maintain compliance with covenants under our debt agreements in effect from time to time.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significant sources and uses of cash during 2024:</w:t>
      </w:r>
    </w:p>
    <w:p>
      <w:pPr>
        <w:spacing w:after="0" w:line="11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operating activities of $1,906.4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property, plant &amp; equipment of $694.0 million.</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approximately 9.1 million shares of common stock for an aggregate purchase price of approximately $650 million under the Share Repurchase Program.</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long-term cash generation is dependent on our ability to generate cash from our operations. Our cash flows from operating activities were $1,906.4 million, $1,977.5 million and $2,633.1 million for the years ended December 31, 2024, 2023 and 2022, respectively. Our operating cash flows for the year ended December 31, 2024 decreased by $71.1 million, or 3.6%, compared to the year ended December 31, 2023 and was primarily attributable to a reduction in net income driven by lower end-market demand for our products partially offset by the timing of cash receipts and payments related to working capital balances.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maintain positive operating cash flows is dependent on, among other factors, our success in achieving our revenue goals and meeting manufacturing and operating cost targets. Management of our assets and liabilities, including both working capital and long-term assets and liabilities, also influences our operating cash flows.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flows used in investing activities were $1,009.8 million, $1,737.9 million and $705.4 million for the years ended December 31, 2024, 2023 and 2022, respectively. The decrease of $728.1 million for the year ended December 31, 2024 compared to the year ended December 31, 2023 was primarily attributable to a decrease in capital expenditures and payments for the acquisition of our EFK location during the year ended 2023, partially offset by the net impact of purchases and maturities of short-term investments. During the years ended December 31, 2024, 2023 and 2022, we paid $694.0 million, $1,539.1 million and $1,036.0 million, respectively, for capital expenditures. Our capital expenditures as a percent of revenue for the years ended December 31, 2024, 2023 and 2022 was approximately 10%, 19% and 12%, respectively. In 2025, based on current plans, we expect capital expenditures to be approximately 5% of revenue.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flows used in financing activities were $683.8 million, $686.5 million and $370.0 million for the years ended December 31, 2024, 2023 and 2022, respectively. We used cash for share repurchases of $654.1 million for the year ended December 31, 2024 compared to $564.2 million in 2023. Additionally, during the year ended December 31, 2023, we had net cash outflows related to the establishment of our new Credit Agreement.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January 2025, we acquired 1.6 million shares for $100.0 million under the Share Repurchase Program, subject to a 10b5-1 trading arrangement. We expect to continue to opportunistically repurchase under our Share Repurchase Program subject to market conditions, the price of our shares and other factors (including liquidity needs). However, the Share Repurchase Program may be modified, suspended or terminated by the Board of Directors at any time without prior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1A "Risk Factors" included elsewhere in this Form 10-K for additional information related to liquidity matters.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we were in compliance with the indentures relating to our 0% Notes, 0.50% Notes and 3.875% Notes and with the financial covenants included in the Credit Agreement. The 0% Notes, 0.50% Notes and 3.875% Notes are senior to the existing and future subordinated indebtedness of onsemi and its guarantor subsidiaries, rank equally in right of payment to all of our existing and future senior debt and, as unsecured obligations, are subordinated to all of our existing and future secured debt to the extent of the assets securing such debt. Failure to comply with any of our covenants or any other terms of our Credit Agreement could result in higher interest rates in our borrowings or the acceleration of the maturities of our outstanding debt. In order to remain in compliance with the various financial covenants contained in our debt agreements and to fund working capital, our capital expenditures and business development efforts will depend on our ability to generate cash from operating activities, which is subject to, among other things, our future operating performance, as well as financial, competitive, legislative, regulatory and other conditions, some of which may be beyond our control.</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outstanding $804.9 million aggregate principal amount of the 0% Notes, $1,500.0 million aggregate principal amount of the 0.50% Notes and $700.0 million aggregate principal amount of 3.875% Notes. The associated interest expense related to our indebtedness will continue to have a significant impact on our results of operations.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9: ''Long-Term Debt'' in the notes to our audited consolidated financial statements included elsewhere in this Form 10-K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Financing and Capital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evaluate our debt and capital structure and, when appropriate, we have completed various measures to secure liquidity, repurchase shares of our common stock, reduce interest costs, amend or replace existing key financing arrangements and, in some cases, extend a portion of our debt maturities to continue to provide us additional operating flexibility.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Financing Events</w:t>
      </w:r>
    </w:p>
    <w:p>
      <w:pPr>
        <w:spacing w:after="0" w:line="297" w:lineRule="exact"/>
        <w:rPr>
          <w:sz w:val="20"/>
          <w:szCs w:val="20"/>
          <w:color w:val="auto"/>
        </w:rPr>
      </w:pPr>
    </w:p>
    <w:p>
      <w:pPr>
        <w:ind w:left="660" w:right="20" w:hanging="328"/>
        <w:spacing w:after="0" w:line="234"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Repurchases of approximately 9.1 million shares of common stock for an aggregate purchase price of approximately $650 million under the Share Repurchase Program.</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2023 Financing Events</w:t>
      </w:r>
    </w:p>
    <w:p>
      <w:pPr>
        <w:spacing w:after="0" w:line="256" w:lineRule="exact"/>
        <w:rPr>
          <w:sz w:val="20"/>
          <w:szCs w:val="20"/>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$1.5 billion of 0.50% Notes on February 28, 2023, the net proceeds of which were used to repay $1,086.0 million of the existing indebtedness under the Term Loan "B" Facility, the related transaction fees and expenses and to pay approximately $171.5 million net cost of the related convertible note hedges.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new Credit Agreement consisting of a $1.5 billion Revolving Credit Facility and draw-down of $375.0 million to repay the entire outstanding balance under the Revolver due 2024 in the second quarter of 2023.</w:t>
      </w:r>
    </w:p>
    <w:p>
      <w:pPr>
        <w:spacing w:after="0" w:line="229" w:lineRule="exact"/>
        <w:rPr>
          <w:rFonts w:ascii="Times New Roman" w:cs="Times New Roman" w:eastAsia="Times New Roman" w:hAnsi="Times New Roman"/>
          <w:sz w:val="18"/>
          <w:szCs w:val="18"/>
          <w:color w:val="auto"/>
        </w:rPr>
      </w:pPr>
    </w:p>
    <w:p>
      <w:pPr>
        <w:ind w:left="660" w:right="20" w:hanging="328"/>
        <w:spacing w:after="0" w:line="234"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Repurchases of approximately 7.6 million shares of common stock for an aggregate purchase price of approximately $564 million under the Share Repurchase Program.</w:t>
      </w:r>
    </w:p>
    <w:p>
      <w:pPr>
        <w:spacing w:after="0" w:line="226" w:lineRule="exact"/>
        <w:rPr>
          <w:rFonts w:ascii="Times New Roman" w:cs="Times New Roman" w:eastAsia="Times New Roman" w:hAnsi="Times New Roman"/>
          <w:sz w:val="22"/>
          <w:szCs w:val="22"/>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the 1.625% Notes amounting to $119.6 million in cash upon maturity and issuance of approximately 4.5 million shares of common stock to settle the excess over the principal.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Financing Events</w:t>
      </w:r>
    </w:p>
    <w:p>
      <w:pPr>
        <w:spacing w:after="0" w:line="256"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 down of $500.0 million on the Revolver due 2024 and partial repayment of the outstanding balance on the Term Loan "B" Facility and corresponding write off of $7.3 million of unamortized debt discount and issuance costs.</w:t>
      </w:r>
    </w:p>
    <w:p>
      <w:pPr>
        <w:spacing w:after="0" w:line="229"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Repurchases of approximately 4.0 million shares of common stock for an aggregate purchase price of approximately $260 million under the previous share repurchase program.</w:t>
      </w:r>
    </w:p>
    <w:p>
      <w:pPr>
        <w:spacing w:after="0" w:line="226" w:lineRule="exact"/>
        <w:rPr>
          <w:rFonts w:ascii="Times New Roman" w:cs="Times New Roman" w:eastAsia="Times New Roman" w:hAnsi="Times New Roman"/>
          <w:sz w:val="22"/>
          <w:szCs w:val="22"/>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with certain holders of the 1.625% Notes to repurchase or exchange, as applicable, $16.0 million in aggregate principal amount of the 1.625% Notes for a total consideration of $16.0 million in cash and 552,000 shares of common stock.</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the Tenth Amendment to the Prior Credit Agreement to transition the interest rate base from LIBOR to Term SOFR.</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''Long-Term Debt'' in the notes to our audited consolidated financial statements included elsewhere in this Form 10-K for 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discussion and analysis of our financial condition and results of operations is based upon our audited consolidated financial statements, which have been prepared in accordance with accounting principles generally accepted in the United States. We believe certain of our accounting policies are critical to understanding our financial position and results of operations. We utilize the following critical accounting policies in the preparation of our financial statements. In addition to our critical accounting policies below, see Note 2: ''Significant Accounting Policies'' in the notes to our audited consolidated financial statements included elsewhere in this Form 10-K.</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accordance with GAAP requires us to make estimates and assumptions that affect the reported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assets and liabilities at the date of the financial statements and the reported amount of revenue and expenses during the reporting period. We evaluate these estimates and judgments on an ongoing basis and base our estimates on experience, current and expected future conditions, third-party evaluations and various other assumptions that we believe are reasonable under the circumstances. Significant estimates have been used by management in conjunction with the following: (i) calculation of future payouts for customer incentives and amounts subject to allowances and returns; (ii) valuation and obsolescence relating to inventories; (iii) measurement of valuation allowances against deferred tax assets, and evaluations of uncertain tax positions; (iv) assumptions used in business combinations; and (v) testing for impairment of long-lived assets and goodwill. Actual results may differ from the estimates and assumptions used in the consolidated financial statements.</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generate revenue from sales of our semiconductor products to direct customers and distributors. We also generate revenue,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much lesser extent, from product development agreements and manufacturing services provided to customers. We apply a five-step approach in determining the amount and timing of revenue to be recognized: (i) identifying the contract with a customer; (ii) identifying the performance obligations in the contract; (iii) determining the transaction price; (iv) allocating the transaction price to the performance obligations in the contract; and (v) recognizing revenue when the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performance obligation is satisfied. We allocate the transaction price to each distinct product based on its relative stand-alone selling price. In determining the transaction price, we evaluate whether the price is subject to refund or adjustment to determine the net consideration to which we expect to be entitled.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revenue when we satisfy a performance obligation in an amount reflecting the consideration to which we expect to be entitled. Substantially all of our revenue is recognized at the time control of the products transfers to the customer. For sales agreements, we have identified the promise to transfer products, each of which is distinct, to be the performance obligation. For product development agreements, we have identified the completion of a service defined in the agreement to be the performance obligation. We recognize revenue from manufacturing services when we satisfy the performance obligation by transferring the promised goods or services to the customer. Depending on the terms of the applicable contractual agreement with the customer, revenue is recognized at the point in time when the customer obtains control of the promised goods or service, or over time when the created asset has no alternate use to us and there is an enforceable right to payment for the performance to date.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to certain distributors, primarily those with ship and credit rights, can be subject to price adjustment on certain products. We develop an estimate of their expected claims under the ship and credit program based on the historical claims data submitted by product and customer and expected future claims, which requires the use of estimates and assumptions related to the amount of each claim as well as the historical period used to develop the estimate. Although payment terms vary, most distributor agreements require payment within 30 days.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direct customers do not have the right to return products other than pursuant to the provisions of our standard warranty. Sales to distributors, however, are typically made pursuant to agreements that provide return rights and stock rotation provisions permitting limited levels of product returns. Provisions for discounts and rebates to customers, estimated returns and allowances, ship and credit claims and other adjustments are provided for in the same period the related revenue is recognized, and are netted against revenue. For non-quality related returns, we recognize a related asset for the right to recover returned products with a corresponding reduction to cost of goods sold. Payment terms for direct customers generally require payment within 30 days but can extend up to 90 days. We record a reserve for cash discounts as a reduction to accounts receivable and a reduction to revenue, based on the experience with each customer.</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Inventories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carry our inventories at the lower of standard cost (which approximates actual cost on a first-in, first-out basis) or net realizable value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provisions for potential excess and obsolete inventories based upon a regular analysis of inventory on hand compared to historical and projected end-user demand. The determination of projected end-user demand requires the use of estimates and assumptions related to projected unit sales for each product. These provisions can influence our results from operations. For example, when demand falls for a given part, all or a portion of the related inventory that is considered to be in excess of anticipated demand is reserved, impacting our cost of revenue and gross profit. The majority of product inventory that has been previously reserved is ultimately discarded. Although we do sell some products that have previously been written down, such sales have historically been consistently insignificant and the related impact on our margins has also been insignificant.</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are accounted for using the asset and liability method. Under this method, deferred income tax assets and liabilities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we cannot conclude that it is more likely than not that such deferred tax assets will be realized.</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amount of the valuation allowance, estimated future taxable income, feasible tax planning strategies, future reversals of existing temporary differences and taxable income in prior carryback years, if a carryback is permitted, are considered. If we determine it is more likely than not that all or a portion of the remaining deferred tax assets will not be realized, the valuation allowance will be increased with a charge to income tax expense. Conversely, if we determine it is more likely than not to be able to utilize all or a portion of the deferred tax assets for which a valuation allowance has been provided, the related portion of the valuation allowance will be recorded as a reduction to income tax expense.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and measure benefits for uncertain tax positions using a two-step approach. The first step is to evaluate the tax position taken or expected to be taken in a tax return by determining if the weight of available evidence indicates that it is more likely than not that the tax positions will be sustained upon audit, including resolution of any related appeals or litigation processes. For tax positions that are more likely than not to be sustained upon audit, the second step is to measure the tax benefit as the largest amount that is more than 50% likely to be realized upon settlement. No tax benefit is recognized for tax</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positions that are not more likely than not to be sustained. Our practice is to recognize interest and/or penalties related to income tax matters in income tax expense. Significant judgment is required to evaluate uncertain tax positions. Evaluations are based upon a number of factors, including changes in facts or circumstances, changes in tax law, correspondence with tax authorities during the course of tax audits and effective settlement of audit issues. Changes in the recognition or measurement of uncertain tax positions could result in material increases or decreases in income tax expense in the period in which the change is made, which could have a material impact on our effective tax rate.</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We use estimates and assumptions in allocating the purchase price of acquired business by utilizing established valuation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techniques appropriate for the technology industry to record the acquired assets and liabilities at fair value. We utilize the income approach, cost approach or market approach, depending upon which approach is the most appropriate based on the nature and reliability of available data. If the income approach is used, the fair value determination is predicated upon the value of the future cash flows that an asset is expected to generate over its economic life and involves significant assumptions as to cash flows, associated expenses, long-term growth rates and discount rates. The cost approach takes into account the cost to replace (or reproduce) the asset and involves assumptions relating to the asset's value of physical, functional and/or economic obsolescence that has occurred with respect to the asset. The market approach is used to estimate value from an analysis of actual transactions or offerings for economically comparable assets available as of the valuation date. Determining the fair value of acquired technology assets is judgmental in nature and requires the use of significant estimates and assumptions, including the discount rate, revenue growth rates, projected gross margins, and estimated research and development expenses.</w:t>
      </w: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Goodwill and Long-Lived Assets. </w:t>
      </w:r>
      <w:r>
        <w:rPr>
          <w:rFonts w:ascii="Times New Roman" w:cs="Times New Roman" w:eastAsia="Times New Roman" w:hAnsi="Times New Roman"/>
          <w:sz w:val="18"/>
          <w:szCs w:val="18"/>
          <w:color w:val="auto"/>
        </w:rPr>
        <w:t>We evaluate our goodwill for potential impairment annually during the fourth quarter and whenever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or changes in circumstances indicate the carrying value of goodwill may not be recoverable. Our impairment evaluation consists of a qualitative assessment, and if deemed necessary, a quantitative test is performed which compares the fair value of a reporting unit with its carrying amount, including goodwill.</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Determining the fair value of our reporting units is subjective in nature and involves the use of significant estimates and assumptions, including projected net cash flows, discount and long-term growth rates. We determine the fair value of our reporting units based on an income approach, whereby the fair value of the reporting unit is derived from the present value of estimated future cash flows. The assumptions about estimated cash flows include factors such as future revenue, gross profit, operating expenses, and industry trends. We consider historical rates and current market conditions when determining the discount and long-term growth rates to use in its analysis. We consider other valuation methods, such as the cost approach or market approach, if it is determined that these methods provide a more representative approximation of fair value.</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evaluate the recoverability of the carrying amount of our property, plant and equipment and intangible assets, whenever events or changes in circumstances indicate that the carrying amount of an asset group may not be fully recoverable. Impairment is first assessed when the undiscounted expected cash flows derived for an asset group are less than its carrying amount. Impairment losses, if applicable, are measured as the amount by which the carrying value of an asset group exceeds its fair value and are recognized in operating results. We continually apply our best judgment when applying these impairment rules to determine the timing of the impairment test, the undiscounted cash flows used to assess impairments and the fair value of an impaired asset group. The dynamic economic environment in which we operate and the resulting assumptions used to estimate future cash flows impact the outcome of our impairment tests. As we continue to implement our business strategy to rationalize products and manufacturing locations to transition to a lighter internal fabrication model, there could be divestiture transactions that result in a portion of goodwill or other assets being de-recognized and result in accounting charges.</w:t>
      </w:r>
    </w:p>
    <w:p>
      <w:pPr>
        <w:spacing w:after="0" w:line="21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Contingencies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are involved in a variety of legal matters that arise in the normal course of business. Based on the available information, we evaluate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relevant range and likelihood of potential outcomes and we record the appropriate liability when the amount is deemed probable and reasonably estimable.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4: ''Recent Accounting Pronouncements and Other Developments'' in the notes to our audited consolidated financial statements included elsewhere in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financial market risks, including changes in interest rates and foreign currency exchange rates. To mitigate these risks, we utilize derivative financial instruments. We do not use derivative financial instruments for speculative or trading purposes.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jc w:val="both"/>
        <w:spacing w:after="0" w:line="245" w:lineRule="auto"/>
        <w:rPr>
          <w:sz w:val="20"/>
          <w:szCs w:val="20"/>
          <w:color w:val="auto"/>
        </w:rPr>
      </w:pPr>
      <w:r>
        <w:rPr>
          <w:rFonts w:ascii="Times New Roman" w:cs="Times New Roman" w:eastAsia="Times New Roman" w:hAnsi="Times New Roman"/>
          <w:sz w:val="18"/>
          <w:szCs w:val="18"/>
          <w:color w:val="auto"/>
        </w:rPr>
        <w:t>As of December 31, 2024, our gross long-term debt totaled $3,379.9 million. We have no interest rate exposure to rate changes on our fixed rate debt, which totaled $3,004.9 million. We do have interest rate exposure with respect to our Revolving Credit Facility, which had a $375.0 million balance as of December 31, 2024. We estimate a 50-basis point increase in interest rates would impact our expected annual interest expense for the next 12 months by approximately $1.9 million. However, this impact may be partially offset by the additional interest earned on our cash and cash equivalents.</w:t>
      </w:r>
    </w:p>
    <w:p>
      <w:pPr>
        <w:spacing w:after="0" w:line="2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ensure the adequacy and effectiveness of our foreign exchange hedge positions, we continually monitor our foreign exchange forward positions. However, given the inherent limitations of forecasting and the anticipatory nature of exposures intended to be hedged, we cannot provide any assurances that such programs will offset more than a portion of the adverse financial impact resulting from unfavorable movements in foreign exchange rates.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risks associated with transactions that are denominated in currencies other than our functional currencies, as well as the effects of translating amounts denominated in a foreign currency to the U.S. dollar as a normal part of the reporting process. Some of our Japanese operations utilize Japanese Yen as the functional currency, which results in a translation adjustment that is included as a component of accumulated other comprehensive income.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forward foreign currency contracts that economically hedge the gains and losses generated by the re-measurement of certain recorded assets and liabilities in a non-functional currency. Changes in the fair value of these undesignated hedges are recognized in other income and expense immediately as an offset to the changes in the fair value of the assets or liabilities being hedged. The notional amount of foreign exchange contracts at December 31, 2024 and 2023 was $256.8 million and $262.2 million, respectively.</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Substantially all of our revenue is transacted in U.S. dollars. However, a significant amount of our operating expenditures and capital purchases are transacted in local currencies, including Chinese Renminbi, Czech koruna, euros, Japanese yen, Korean won, Malaysian ringgit, Philippine peso and Vietnamese dong. Due to the materiality of our transactions in these local currencies, our results are impacted by changes in currency exchange rates measured against the U.S. dollar. For example, we determined that based on a hypothetical weighted-average change of 10% in currency exchange rates, our operating income would have impacted our income before taxes by approximately $110.6 million for the year ended December 31, 2024, assuming no offsetting hedge position or correlated activities.</w:t>
      </w:r>
    </w:p>
    <w:p>
      <w:pPr>
        <w:spacing w:after="0" w:line="2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15: ''Financial Instruments'' in the notes to the audited consolidated financial statements included elsewhere in this Form 10-K for further information with respect to our hedging activity.</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listed in the index appearing under Part IV, Item 15(a)(1) of this Form 10-K and the Financial Statement Schedule listed in the index appearing under Part IV, Item 15(a)(2) of this Form 10-K are filed as part of this Form 10-K and are incorporated herein by reference in this Item 8.</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7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8"/>
        </w:trPr>
        <w:tc>
          <w:tcPr>
            <w:tcW w:w="55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0000FF"/>
                <w:w w:val="99"/>
              </w:rPr>
              <w:t>53</w:t>
            </w:r>
          </w:p>
        </w:tc>
      </w:tr>
      <w:tr>
        <w:trPr>
          <w:trHeight w:val="245"/>
        </w:trPr>
        <w:tc>
          <w:tcPr>
            <w:tcW w:w="5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r>
      <w:tr>
        <w:trPr>
          <w:trHeight w:val="194"/>
        </w:trPr>
        <w:tc>
          <w:tcPr>
            <w:tcW w:w="320" w:type="dxa"/>
            <w:vAlign w:val="bottom"/>
          </w:tcPr>
          <w:p>
            <w:pPr>
              <w:spacing w:after="0"/>
              <w:rPr>
                <w:sz w:val="16"/>
                <w:szCs w:val="16"/>
                <w:color w:val="auto"/>
              </w:rPr>
            </w:pPr>
          </w:p>
        </w:tc>
        <w:tc>
          <w:tcPr>
            <w:tcW w:w="21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0000FF"/>
                <w:w w:val="98"/>
              </w:rPr>
              <w:t>Consolidated Balance Sheets</w:t>
            </w:r>
          </w:p>
        </w:tc>
        <w:tc>
          <w:tcPr>
            <w:tcW w:w="8080" w:type="dxa"/>
            <w:vAlign w:val="bottom"/>
            <w:gridSpan w:val="6"/>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3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01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3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340" w:type="dxa"/>
            <w:vAlign w:val="bottom"/>
          </w:tcPr>
          <w:p>
            <w:pPr>
              <w:spacing w:after="0"/>
              <w:rPr>
                <w:sz w:val="18"/>
                <w:szCs w:val="18"/>
                <w:color w:val="auto"/>
              </w:rPr>
            </w:pPr>
          </w:p>
        </w:tc>
        <w:tc>
          <w:tcPr>
            <w:tcW w:w="53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0"/>
        </w:trPr>
        <w:tc>
          <w:tcPr>
            <w:tcW w:w="3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660" w:type="dxa"/>
            <w:vAlign w:val="bottom"/>
            <w:gridSpan w:val="2"/>
          </w:tcPr>
          <w:p>
            <w:pPr>
              <w:spacing w:after="0"/>
              <w:rPr>
                <w:sz w:val="18"/>
                <w:szCs w:val="18"/>
                <w:color w:val="auto"/>
              </w:rPr>
            </w:pPr>
          </w:p>
        </w:tc>
        <w:tc>
          <w:tcPr>
            <w:tcW w:w="664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0"/>
        </w:trPr>
        <w:tc>
          <w:tcPr>
            <w:tcW w:w="3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020" w:type="dxa"/>
            <w:vAlign w:val="bottom"/>
            <w:gridSpan w:val="4"/>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0000FF"/>
                <w:w w:val="99"/>
              </w:rPr>
              <w:t>59</w:t>
            </w:r>
          </w:p>
        </w:tc>
      </w:tr>
      <w:tr>
        <w:trPr>
          <w:trHeight w:val="20"/>
        </w:trPr>
        <w:tc>
          <w:tcPr>
            <w:tcW w:w="3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our disclosure controls and procedures (as defined in Rules 13a-15(e) and 15d-15(e) of the Exchange Act). Based upon that evaluation, our Chief Executive Officer and Chief</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Financial Officer concluded that, as of the end of the period covered in this Form 10-K, our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fiscal quarter ended December 31, 2024.</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(as defined in Exchange Act Rules 13a-15(f) and 15d-15(f)) that occurred during the fiscal quarter ended December 31, 2024 that have materially affected, or are reasonably likely to materially affect, our internal control over financial reporting.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Rules 13a-15(f) and 15d-15(f)).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2024. In making this assessment, we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Based on this assessment, management has concluded that our internal control over financial reporting was effective as of December 31, 2024.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LLP, an independent registered public accounting firm, as stated in their report which appears in "Exhibits and Financial Statement Schedules" of this Form 10-K.</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none of our directors or officers (as defined in Rule 16a-1(f) of the Exchange Act) adopted or terminated a "Rule 10b5-1 trading arrangement" or "non-Rule 10b5-1 trading arrangement" (as those terms are defined in Item 408 of Regulation S-K), except as follows:</w:t>
      </w:r>
    </w:p>
    <w:p>
      <w:pPr>
        <w:spacing w:after="0" w:line="203"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Alan Campbell, the Chair of our Board of Directors, adopted a Rule 10b5-1 trading arrangement on December 11, 2024. Under this arrangement, a total of 25,371 shares of our common stock may be sold, subject to certain conditions, before the plan expires on December 31, 2025.</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Hassane El-Khoury, our President and Chief Executive Officer, and a director, adopted a Rule 10b5-1 trading arrangement on December 11, 2024. Under this arrangement, a total of 13,500 shares of our common stock may be sold, subject to certain conditions, before the plan expires on December 31, 2025.</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Thad Trent, our Executive Vice President, Chief Financial Officer and Treasurer, adopted a Rule 10b5-1 trading arrangement on December 11, 2024. Under this arrangement, a total of 105,000 shares of our common stock may be sold, subject to certain conditions, before the plan expires on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arrangements are intended to satisfy the affirmative defense conditions of Rule 10b5-1(c) of the Exchange Act.</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i w:val="1"/>
          <w:iCs w:val="1"/>
          <w:color w:val="auto"/>
        </w:rPr>
        <w:t>Item 9C.</w:t>
        <w:tab/>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i w:val="1"/>
          <w:i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under the heading "Information about Our Executive Officers" in this Form 10-K is incorporated by reference into this section. Information concerning directors and persons nominated to become directors and executive officers is incorporated by reference from the text under the captions "The Board of Directors and Corporate Governance," "Delinquent Section 16(a) Reports" and "Miscellaneous Information" in our Proxy Statement to be filed pursuant to Regulation 14A within 120 days after our fiscal year ended December 31, 2024 in connection with our 2025 Annual Meeting of Stockholders ("Proxy Statement").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our insider trading policy is incorporated by reference from the text under the caption "Insider Trading Policy" in our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our Code of Business Conduct is incorporated by reference from the text under the caption "The Board of Directors and Corporate Governance" in our Proxy Statement.</w:t>
      </w:r>
    </w:p>
    <w:p>
      <w:pPr>
        <w:spacing w:after="0" w:line="18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Information concerning executive compensation is incorporated by reference from the text under the captions "The Board of Directors and Corporate Governance — 2024 Compensation of Directors" and "Compensation of Executive Officers" (excluding the information under the subheading “2024 Pay versus Performance”) in our Proxy Statement.</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incorporated by reference under the caption "Compensation of Executive Officers — Compensation Committee Report" in our Proxy Statement shall be deemed furnished, and not filed, in this Form 10-K and shall not be deemed incorporated by reference into any filing under the Securities Act or the Exchange Act as a result of this furnishing, except to the extent that we specifically incorporate it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concerning security ownership of certain beneficial owners and management is incorporated by reference from the text under the captions "Stock Ownership — Principal Stockholders," "Stock Ownership — Share Ownership of Directors and Executive Officers" and "Stock Ownership — Equity Compensation Plan Information" in our Proxy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certain relationships and related transactions involving us and certain others is incorporated by reference from the text under the caption "The Board of Directors and Corporate Governance" in our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concerning principal accounting fees and services is incorporated by reference from the text under the caption "Audit Committee Matters"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93"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48" w:lineRule="exact"/>
        <w:rPr>
          <w:sz w:val="20"/>
          <w:szCs w:val="20"/>
          <w:color w:val="auto"/>
        </w:rPr>
      </w:pPr>
    </w:p>
    <w:p>
      <w:pPr>
        <w:ind w:left="940" w:hanging="455"/>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131" w:lineRule="exact"/>
        <w:rPr>
          <w:sz w:val="20"/>
          <w:szCs w:val="20"/>
          <w:color w:val="auto"/>
        </w:rPr>
      </w:pPr>
    </w:p>
    <w:p>
      <w:pPr>
        <w:ind w:left="480"/>
        <w:spacing w:after="0"/>
        <w:tabs>
          <w:tab w:leader="none" w:pos="940" w:val="left"/>
        </w:tabs>
        <w:rPr>
          <w:sz w:val="20"/>
          <w:szCs w:val="20"/>
          <w:color w:val="auto"/>
        </w:rPr>
      </w:pPr>
      <w:r>
        <w:rPr>
          <w:rFonts w:ascii="Times New Roman" w:cs="Times New Roman" w:eastAsia="Times New Roman" w:hAnsi="Times New Roman"/>
          <w:sz w:val="18"/>
          <w:szCs w:val="18"/>
          <w:color w:val="auto"/>
        </w:rPr>
        <w:t>(1)</w:t>
        <w:tab/>
        <w:t>Consolidated Financial Statements: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8"/>
        </w:trPr>
        <w:tc>
          <w:tcPr>
            <w:tcW w:w="103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460" w:type="dxa"/>
            <w:vAlign w:val="bottom"/>
            <w:gridSpan w:val="2"/>
          </w:tcPr>
          <w:p>
            <w:pPr>
              <w:jc w:val="center"/>
              <w:ind w:left="193"/>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280" w:type="dxa"/>
            <w:vAlign w:val="bottom"/>
          </w:tcPr>
          <w:p>
            <w:pPr>
              <w:spacing w:after="0"/>
              <w:rPr>
                <w:sz w:val="16"/>
                <w:szCs w:val="16"/>
                <w:color w:val="auto"/>
              </w:rPr>
            </w:pPr>
          </w:p>
        </w:tc>
      </w:tr>
      <w:tr>
        <w:trPr>
          <w:trHeight w:val="245"/>
        </w:trPr>
        <w:tc>
          <w:tcPr>
            <w:tcW w:w="10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8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r>
      <w:tr>
        <w:trPr>
          <w:trHeight w:val="194"/>
        </w:trPr>
        <w:tc>
          <w:tcPr>
            <w:tcW w:w="320" w:type="dxa"/>
            <w:vAlign w:val="bottom"/>
          </w:tcPr>
          <w:p>
            <w:pPr>
              <w:spacing w:after="0"/>
              <w:rPr>
                <w:sz w:val="16"/>
                <w:szCs w:val="16"/>
                <w:color w:val="auto"/>
              </w:rPr>
            </w:pPr>
          </w:p>
        </w:tc>
        <w:tc>
          <w:tcPr>
            <w:tcW w:w="210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7940" w:type="dxa"/>
            <w:vAlign w:val="bottom"/>
            <w:gridSpan w:val="5"/>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55</w:t>
            </w:r>
          </w:p>
        </w:tc>
        <w:tc>
          <w:tcPr>
            <w:tcW w:w="280" w:type="dxa"/>
            <w:vAlign w:val="bottom"/>
          </w:tcPr>
          <w:p>
            <w:pPr>
              <w:spacing w:after="0"/>
              <w:rPr>
                <w:sz w:val="16"/>
                <w:szCs w:val="16"/>
                <w:color w:val="auto"/>
              </w:rPr>
            </w:pPr>
          </w:p>
        </w:tc>
      </w:tr>
      <w:tr>
        <w:trPr>
          <w:trHeight w:val="209"/>
        </w:trPr>
        <w:tc>
          <w:tcPr>
            <w:tcW w:w="320" w:type="dxa"/>
            <w:vAlign w:val="bottom"/>
          </w:tcPr>
          <w:p>
            <w:pPr>
              <w:spacing w:after="0"/>
              <w:rPr>
                <w:sz w:val="18"/>
                <w:szCs w:val="18"/>
                <w:color w:val="auto"/>
              </w:rPr>
            </w:pPr>
          </w:p>
        </w:tc>
        <w:tc>
          <w:tcPr>
            <w:tcW w:w="100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w:t>
            </w:r>
          </w:p>
        </w:tc>
        <w:tc>
          <w:tcPr>
            <w:tcW w:w="460" w:type="dxa"/>
            <w:vAlign w:val="bottom"/>
            <w:gridSpan w:val="2"/>
          </w:tcPr>
          <w:p>
            <w:pPr>
              <w:jc w:val="center"/>
              <w:ind w:left="193"/>
              <w:spacing w:after="0"/>
              <w:rPr>
                <w:sz w:val="20"/>
                <w:szCs w:val="20"/>
                <w:color w:val="auto"/>
              </w:rPr>
            </w:pPr>
            <w:r>
              <w:rPr>
                <w:rFonts w:ascii="Times New Roman" w:cs="Times New Roman" w:eastAsia="Times New Roman" w:hAnsi="Times New Roman"/>
                <w:sz w:val="18"/>
                <w:szCs w:val="18"/>
                <w:color w:val="0000FF"/>
                <w:w w:val="99"/>
              </w:rPr>
              <w:t>56</w:t>
            </w:r>
          </w:p>
        </w:tc>
        <w:tc>
          <w:tcPr>
            <w:tcW w:w="28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48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c>
          <w:tcPr>
            <w:tcW w:w="28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0" w:type="dxa"/>
            <w:vAlign w:val="bottom"/>
            <w:tcBorders>
              <w:top w:val="single" w:sz="8" w:color="0000FF"/>
            </w:tcBorders>
            <w:gridSpan w:val="2"/>
          </w:tcPr>
          <w:p>
            <w:pPr>
              <w:spacing w:after="0"/>
              <w:rPr>
                <w:sz w:val="18"/>
                <w:szCs w:val="18"/>
                <w:color w:val="auto"/>
              </w:rPr>
            </w:pPr>
          </w:p>
        </w:tc>
        <w:tc>
          <w:tcPr>
            <w:tcW w:w="65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c>
          <w:tcPr>
            <w:tcW w:w="280" w:type="dxa"/>
            <w:vAlign w:val="bottom"/>
          </w:tcPr>
          <w:p>
            <w:pPr>
              <w:spacing w:after="0"/>
              <w:rPr>
                <w:sz w:val="18"/>
                <w:szCs w:val="18"/>
                <w:color w:val="auto"/>
              </w:rPr>
            </w:pPr>
          </w:p>
        </w:tc>
      </w:tr>
      <w:tr>
        <w:trPr>
          <w:trHeight w:val="210"/>
        </w:trPr>
        <w:tc>
          <w:tcPr>
            <w:tcW w:w="320" w:type="dxa"/>
            <w:vAlign w:val="bottom"/>
          </w:tcPr>
          <w:p>
            <w:pPr>
              <w:spacing w:after="0"/>
              <w:rPr>
                <w:sz w:val="18"/>
                <w:szCs w:val="18"/>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880" w:type="dxa"/>
            <w:vAlign w:val="bottom"/>
            <w:gridSpan w:val="3"/>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c>
          <w:tcPr>
            <w:tcW w:w="280" w:type="dxa"/>
            <w:vAlign w:val="bottom"/>
          </w:tcPr>
          <w:p>
            <w:pPr>
              <w:spacing w:after="0"/>
              <w:rPr>
                <w:sz w:val="18"/>
                <w:szCs w:val="18"/>
                <w:color w:val="auto"/>
              </w:rPr>
            </w:pPr>
          </w:p>
        </w:tc>
      </w:tr>
    </w:tbl>
    <w:p>
      <w:pPr>
        <w:spacing w:after="0" w:line="387" w:lineRule="exact"/>
        <w:rPr>
          <w:sz w:val="20"/>
          <w:szCs w:val="20"/>
          <w:color w:val="auto"/>
        </w:rPr>
      </w:pPr>
    </w:p>
    <w:p>
      <w:pPr>
        <w:ind w:left="940" w:hanging="455"/>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w:t>
      </w:r>
    </w:p>
    <w:p>
      <w:pPr>
        <w:spacing w:after="0" w:line="117"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Schedule II - Valuation and Qualifying Accounts</w:t>
            </w:r>
          </w:p>
        </w:tc>
        <w:tc>
          <w:tcPr>
            <w:tcW w:w="680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97</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financial statements or related notes.</w:t>
      </w:r>
    </w:p>
    <w:p>
      <w:pPr>
        <w:spacing w:after="0" w:line="50" w:lineRule="exact"/>
        <w:rPr>
          <w:sz w:val="20"/>
          <w:szCs w:val="20"/>
          <w:color w:val="auto"/>
        </w:rPr>
      </w:pPr>
    </w:p>
    <w:p>
      <w:pPr>
        <w:ind w:left="940" w:hanging="455"/>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80" w:type="dxa"/>
            <w:vAlign w:val="bottom"/>
            <w:gridSpan w:val="35"/>
          </w:tcPr>
          <w:p>
            <w:pPr>
              <w:ind w:left="2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3"/>
        </w:trPr>
        <w:tc>
          <w:tcPr>
            <w:tcW w:w="14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4300" w:type="dxa"/>
            <w:vAlign w:val="bottom"/>
            <w:gridSpan w:val="32"/>
          </w:tcPr>
          <w:p>
            <w:pPr>
              <w:spacing w:after="0"/>
              <w:rPr>
                <w:sz w:val="17"/>
                <w:szCs w:val="17"/>
                <w:color w:val="auto"/>
              </w:rPr>
            </w:pPr>
          </w:p>
        </w:tc>
      </w:tr>
      <w:tr>
        <w:trPr>
          <w:trHeight w:val="263"/>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22"/>
                <w:szCs w:val="22"/>
                <w:color w:val="auto"/>
              </w:rPr>
            </w:pPr>
          </w:p>
        </w:tc>
        <w:tc>
          <w:tcPr>
            <w:tcW w:w="9960" w:type="dxa"/>
            <w:vAlign w:val="bottom"/>
            <w:gridSpan w:val="39"/>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Stock Purchase Agreement, dated as of December 9, 2024, by and between United Silicon Carbide, Inc., Qorvo US, Inc., Semiconductor</w:t>
              </w:r>
            </w:hyperlink>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Components Industries, LLC and solely for the purposes of Article V and Section 6.15 thereto, ON Semiconductor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1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w w:val="97"/>
              </w:rPr>
            </w:pPr>
            <w:hyperlink r:id="rId61">
              <w:r>
                <w:rPr>
                  <w:rFonts w:ascii="Times New Roman" w:cs="Times New Roman" w:eastAsia="Times New Roman" w:hAnsi="Times New Roman"/>
                  <w:sz w:val="18"/>
                  <w:szCs w:val="18"/>
                  <w:color w:val="0000FF"/>
                  <w:w w:val="97"/>
                </w:rPr>
                <w:t>(incorporated by reference to Exhibit 2.1 to the Company’s Current Report on Form 8-K filed with the Commission on December</w:t>
              </w:r>
            </w:hyperlink>
          </w:p>
        </w:tc>
        <w:tc>
          <w:tcPr>
            <w:tcW w:w="480" w:type="dxa"/>
            <w:vAlign w:val="bottom"/>
            <w:gridSpan w:val="10"/>
          </w:tcPr>
          <w:p>
            <w:pPr>
              <w:jc w:val="right"/>
              <w:ind w:right="60"/>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10,</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2024)</w:t>
              </w:r>
            </w:hyperlink>
          </w:p>
        </w:tc>
        <w:tc>
          <w:tcPr>
            <w:tcW w:w="1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8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3.1(a)</w:t>
            </w:r>
          </w:p>
        </w:tc>
        <w:tc>
          <w:tcPr>
            <w:tcW w:w="9960" w:type="dxa"/>
            <w:vAlign w:val="bottom"/>
            <w:gridSpan w:val="39"/>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Certificate of Incorporation of ON Semiconductor Corporation, as further amended through March 26, 2008 (incorporated by reference to</w:t>
              </w:r>
            </w:hyperlink>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Exhibit 3.1 to the Company’s Quarterly Report on Form 10-Q filed with the Commission on May 7, 2008)</w:t>
              </w:r>
            </w:hyperlink>
          </w:p>
        </w:tc>
        <w:tc>
          <w:tcPr>
            <w:tcW w:w="228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3.1(b)</w:t>
            </w:r>
          </w:p>
        </w:tc>
        <w:tc>
          <w:tcPr>
            <w:tcW w:w="9960" w:type="dxa"/>
            <w:vAlign w:val="bottom"/>
            <w:gridSpan w:val="39"/>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Certificate of Amendment to the Amended and Restated Certificate of Incorporation, dated May 28, 2014 (incorporated by reference to</w:t>
              </w:r>
            </w:hyperlink>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Exhibit 3.1 to the Company’s Current Report on Form 8-K filed with the Commission on June 3, 2014)</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53"/>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3.1(c)</w:t>
            </w:r>
          </w:p>
        </w:tc>
        <w:tc>
          <w:tcPr>
            <w:tcW w:w="9960" w:type="dxa"/>
            <w:vAlign w:val="bottom"/>
            <w:gridSpan w:val="39"/>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Amendment to the Amended and Restated Certificate of Incorporation, dated May 17, 2017 (incorporated by reference to</w:t>
              </w:r>
            </w:hyperlink>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Exhibit 3.1 to the Company’s Quarterly Report on Form 10-Q filed with the Commission on August 7, 2017)</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9960" w:type="dxa"/>
            <w:vAlign w:val="bottom"/>
            <w:gridSpan w:val="39"/>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By-Laws of ON Semiconductor Corporation as Amended and Restated on August 19, 2022 (incorporated by reference to Exhibit 3.1 to</w:t>
              </w:r>
            </w:hyperlink>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the Company’s Current Report on Form 8-K filed with the Commission on August 25, 2022)</w:t>
              </w:r>
            </w:hyperlink>
          </w:p>
        </w:tc>
        <w:tc>
          <w:tcPr>
            <w:tcW w:w="3080" w:type="dxa"/>
            <w:vAlign w:val="bottom"/>
            <w:tcBorders>
              <w:top w:val="single" w:sz="8" w:color="0000FF"/>
            </w:tcBorders>
            <w:gridSpan w:val="2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4"/>
                <w:szCs w:val="24"/>
                <w:color w:val="auto"/>
              </w:rPr>
            </w:pPr>
          </w:p>
        </w:tc>
        <w:tc>
          <w:tcPr>
            <w:tcW w:w="9960" w:type="dxa"/>
            <w:vAlign w:val="bottom"/>
            <w:gridSpan w:val="39"/>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 xml:space="preserve">Specimen of share certificate of Common Stock, par value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ON Semiconductor Corporation (incorporated by reference to</w:t>
              </w:r>
            </w:hyperlink>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Exhibit 4.1 to the Company’s Annual Report on Form 10-K filed with the Commission on March 10, 2004)</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4.2(a)</w:t>
            </w:r>
          </w:p>
        </w:tc>
        <w:tc>
          <w:tcPr>
            <w:tcW w:w="9960" w:type="dxa"/>
            <w:vAlign w:val="bottom"/>
            <w:gridSpan w:val="39"/>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Indenture, dated as of August 21, 2020, among ON Semiconductor Corporation, the guarantors party thereto and Wells Fargo Bank,</w:t>
              </w:r>
            </w:hyperlink>
          </w:p>
        </w:tc>
      </w:tr>
      <w:tr>
        <w:trPr>
          <w:trHeight w:val="20"/>
        </w:trPr>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86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960" w:type="dxa"/>
            <w:vAlign w:val="bottom"/>
            <w:gridSpan w:val="39"/>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National Association (incorporated by reference to Exhibit 4.1 to the Company’s Current Report on Form 8-K filed with the Commission</w:t>
              </w:r>
            </w:hyperlink>
          </w:p>
        </w:tc>
      </w:tr>
      <w:tr>
        <w:trPr>
          <w:trHeight w:val="169"/>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on August 21, 2020)</w:t>
              </w:r>
            </w:hyperlink>
          </w:p>
        </w:tc>
        <w:tc>
          <w:tcPr>
            <w:tcW w:w="8420" w:type="dxa"/>
            <w:vAlign w:val="bottom"/>
            <w:tcBorders>
              <w:top w:val="single" w:sz="8" w:color="0000FF"/>
            </w:tcBorders>
            <w:gridSpan w:val="3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6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4.2(b)</w:t>
            </w:r>
          </w:p>
        </w:tc>
        <w:tc>
          <w:tcPr>
            <w:tcW w:w="9960" w:type="dxa"/>
            <w:vAlign w:val="bottom"/>
            <w:gridSpan w:val="39"/>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of Global 3.875% Senior Note due 2028 (included in Exhibit 4.2(a))</w:t>
              </w:r>
            </w:hyperlink>
          </w:p>
        </w:tc>
      </w:tr>
      <w:tr>
        <w:trPr>
          <w:trHeight w:val="20"/>
        </w:trPr>
        <w:tc>
          <w:tcPr>
            <w:tcW w:w="1240" w:type="dxa"/>
            <w:vAlign w:val="bottom"/>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4.3(a)</w:t>
            </w:r>
          </w:p>
        </w:tc>
        <w:tc>
          <w:tcPr>
            <w:tcW w:w="95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Indenture, dated as of May 14, 2021, among the Company, the guarantors party thereto and Wells Fargo Bank, National Association</w:t>
              </w:r>
            </w:hyperlink>
          </w:p>
        </w:tc>
        <w:tc>
          <w:tcPr>
            <w:tcW w:w="440" w:type="dxa"/>
            <w:vAlign w:val="bottom"/>
            <w:gridSpan w:val="15"/>
          </w:tcPr>
          <w:p>
            <w:pPr>
              <w:spacing w:after="0"/>
              <w:rPr>
                <w:sz w:val="22"/>
                <w:szCs w:val="22"/>
                <w:color w:val="auto"/>
              </w:rPr>
            </w:pPr>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60" w:type="dxa"/>
            <w:vAlign w:val="bottom"/>
            <w:tcBorders>
              <w:bottom w:val="single" w:sz="8" w:color="0000FF"/>
            </w:tcBorders>
            <w:gridSpan w:val="29"/>
          </w:tcPr>
          <w:p>
            <w:pPr>
              <w:spacing w:after="0" w:line="15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(incorporated by reference to Exhibit 4.1 to the Company’s Current Report on Form 8-K filed with the Commission on May 19, 2021)</w:t>
              </w:r>
            </w:hyperlink>
          </w:p>
        </w:tc>
        <w:tc>
          <w:tcPr>
            <w:tcW w:w="300" w:type="dxa"/>
            <w:vAlign w:val="bottom"/>
            <w:gridSpan w:val="10"/>
          </w:tcPr>
          <w:p>
            <w:pPr>
              <w:spacing w:after="0"/>
              <w:rPr>
                <w:sz w:val="13"/>
                <w:szCs w:val="13"/>
                <w:color w:val="auto"/>
              </w:rPr>
            </w:pPr>
          </w:p>
        </w:tc>
      </w:tr>
      <w:tr>
        <w:trPr>
          <w:trHeight w:val="27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4.3(b)</w:t>
            </w:r>
          </w:p>
        </w:tc>
        <w:tc>
          <w:tcPr>
            <w:tcW w:w="9960" w:type="dxa"/>
            <w:vAlign w:val="bottom"/>
            <w:gridSpan w:val="39"/>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Form of Global 0% Convertible Senior Note due 2027 (included in Exhibit 4.3(a))</w:t>
              </w:r>
            </w:hyperlink>
          </w:p>
        </w:tc>
      </w:tr>
      <w:tr>
        <w:trPr>
          <w:trHeight w:val="20"/>
        </w:trPr>
        <w:tc>
          <w:tcPr>
            <w:tcW w:w="1240" w:type="dxa"/>
            <w:vAlign w:val="bottom"/>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3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4.4(a)</w:t>
            </w:r>
          </w:p>
        </w:tc>
        <w:tc>
          <w:tcPr>
            <w:tcW w:w="9960" w:type="dxa"/>
            <w:vAlign w:val="bottom"/>
            <w:gridSpan w:val="39"/>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Indenture, dated as of February 28, 2023, among the Company, the guarantors party thereto and Computershare Trust Company, National</w:t>
              </w:r>
            </w:hyperlink>
          </w:p>
        </w:tc>
      </w:tr>
      <w:tr>
        <w:trPr>
          <w:trHeight w:val="156"/>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37"/>
          </w:tcPr>
          <w:p>
            <w:pPr>
              <w:spacing w:after="0" w:line="15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Association (incorporated by reference to Exhibit 4.1 to the Company’s Current Report on Form 8-K filed with the Commission on March</w:t>
              </w:r>
            </w:hyperlink>
          </w:p>
        </w:tc>
        <w:tc>
          <w:tcPr>
            <w:tcW w:w="40" w:type="dxa"/>
            <w:vAlign w:val="bottom"/>
            <w:tcBorders>
              <w:bottom w:val="single" w:sz="8" w:color="0000FF"/>
            </w:tcBorders>
            <w:gridSpan w:val="2"/>
          </w:tcPr>
          <w:p>
            <w:pPr>
              <w:spacing w:after="0"/>
              <w:rPr>
                <w:sz w:val="13"/>
                <w:szCs w:val="13"/>
                <w:color w:val="auto"/>
              </w:rPr>
            </w:pPr>
          </w:p>
        </w:tc>
      </w:tr>
      <w:tr>
        <w:trPr>
          <w:trHeight w:val="169"/>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6"/>
              </w:rPr>
            </w:pPr>
            <w:hyperlink r:id="rId69">
              <w:r>
                <w:rPr>
                  <w:rFonts w:ascii="Times New Roman" w:cs="Times New Roman" w:eastAsia="Times New Roman" w:hAnsi="Times New Roman"/>
                  <w:sz w:val="18"/>
                  <w:szCs w:val="18"/>
                  <w:color w:val="0000FF"/>
                  <w:w w:val="96"/>
                </w:rPr>
                <w:t>1, 2023)</w:t>
              </w:r>
            </w:hyperlink>
          </w:p>
        </w:tc>
        <w:tc>
          <w:tcPr>
            <w:tcW w:w="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4.4(b)</w:t>
            </w:r>
          </w:p>
        </w:tc>
        <w:tc>
          <w:tcPr>
            <w:tcW w:w="61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Form of Global 0.50% Convertible Senior Note due 2029 (included in Exhibit 4.4(a))</w:t>
              </w:r>
            </w:hyperlink>
          </w:p>
        </w:tc>
        <w:tc>
          <w:tcPr>
            <w:tcW w:w="3800" w:type="dxa"/>
            <w:vAlign w:val="bottom"/>
            <w:gridSpan w:val="30"/>
          </w:tcPr>
          <w:p>
            <w:pPr>
              <w:spacing w:after="0"/>
              <w:rPr>
                <w:sz w:val="22"/>
                <w:szCs w:val="22"/>
                <w:color w:val="auto"/>
              </w:rPr>
            </w:pPr>
          </w:p>
        </w:tc>
      </w:tr>
      <w:tr>
        <w:trPr>
          <w:trHeight w:val="26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22"/>
                <w:szCs w:val="22"/>
                <w:color w:val="auto"/>
              </w:rPr>
            </w:pPr>
          </w:p>
        </w:tc>
        <w:tc>
          <w:tcPr>
            <w:tcW w:w="9960" w:type="dxa"/>
            <w:vAlign w:val="bottom"/>
            <w:gridSpan w:val="39"/>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Description of the Registrant’s Securities Registered under Section 12 of the Securities Exchange Act of 1934, as amended (incorporated</w:t>
              </w:r>
            </w:hyperlink>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by reference to Exhibit 4.5 to the Company’s Annual Report on Form 10-K filed with the Commission on February 6, 2023)</w:t>
              </w:r>
            </w:hyperlink>
          </w:p>
        </w:tc>
        <w:tc>
          <w:tcPr>
            <w:tcW w:w="940" w:type="dxa"/>
            <w:vAlign w:val="bottom"/>
            <w:tcBorders>
              <w:top w:val="single" w:sz="8" w:color="0000FF"/>
            </w:tcBorders>
            <w:gridSpan w:val="1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7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10.1(a)</w:t>
            </w:r>
          </w:p>
        </w:tc>
        <w:tc>
          <w:tcPr>
            <w:tcW w:w="9960" w:type="dxa"/>
            <w:vAlign w:val="bottom"/>
            <w:gridSpan w:val="39"/>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Joint Venture Contract for Leshan-Phoenix Semiconductor Company Limited, amended and restated on April 20, 2006 between SCG</w:t>
              </w:r>
            </w:hyperlink>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(China) Holding Corporation (a subsidiary of ON Semiconductor Corporation) and Leshan Radio Company Ltd. (incorporated by</w:t>
              </w:r>
            </w:hyperlink>
          </w:p>
        </w:tc>
        <w:tc>
          <w:tcPr>
            <w:tcW w:w="12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3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reference to Exhibit 10.3 to the Company’s Quarterly Report on Form 10-Q filed with the Commission on July 28, 2006)</w:t>
              </w:r>
            </w:hyperlink>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16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
        </w:trPr>
        <w:tc>
          <w:tcPr>
            <w:tcW w:w="1240" w:type="dxa"/>
            <w:vAlign w:val="bottom"/>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780" w:type="dxa"/>
            <w:vAlign w:val="bottom"/>
            <w:gridSpan w:val="1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6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10.1(b)</w:t>
            </w:r>
          </w:p>
        </w:tc>
        <w:tc>
          <w:tcPr>
            <w:tcW w:w="95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Amendment Agreement, dated September 29, 2014, to Joint Venture Contract for Leshan-Phoenix Semiconductor Company Limited</w:t>
              </w:r>
            </w:hyperlink>
          </w:p>
        </w:tc>
        <w:tc>
          <w:tcPr>
            <w:tcW w:w="400" w:type="dxa"/>
            <w:vAlign w:val="bottom"/>
            <w:gridSpan w:val="13"/>
          </w:tcPr>
          <w:p>
            <w:pPr>
              <w:spacing w:after="0"/>
              <w:rPr>
                <w:sz w:val="22"/>
                <w:szCs w:val="22"/>
                <w:color w:val="auto"/>
              </w:rPr>
            </w:pPr>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960" w:type="dxa"/>
            <w:vAlign w:val="bottom"/>
            <w:gridSpan w:val="39"/>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between ON Semiconductor (China) Holding, LLC (a subsidiary of ON Semiconductor Corporation) and Leshan Radio Company Ltd.</w:t>
              </w:r>
            </w:hyperlink>
          </w:p>
        </w:tc>
      </w:tr>
      <w:tr>
        <w:trPr>
          <w:trHeight w:val="169"/>
        </w:trPr>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0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(incorporated by reference to Exhibit 10.5(b) to the Company’s Annual Report on Form 10-K filed with the Commission on February</w:t>
              </w:r>
            </w:hyperlink>
          </w:p>
        </w:tc>
        <w:tc>
          <w:tcPr>
            <w:tcW w:w="260" w:type="dxa"/>
            <w:vAlign w:val="bottom"/>
            <w:gridSpan w:val="9"/>
          </w:tcPr>
          <w:p>
            <w:pPr>
              <w:jc w:val="right"/>
              <w:ind w:right="80"/>
              <w:spacing w:after="0" w:line="169" w:lineRule="exact"/>
              <w:rPr>
                <w:rFonts w:ascii="Times New Roman" w:cs="Times New Roman" w:eastAsia="Times New Roman" w:hAnsi="Times New Roman"/>
                <w:sz w:val="18"/>
                <w:szCs w:val="18"/>
                <w:color w:val="0000FF"/>
                <w:w w:val="70"/>
              </w:rPr>
            </w:pPr>
            <w:hyperlink r:id="rId72">
              <w:r>
                <w:rPr>
                  <w:rFonts w:ascii="Times New Roman" w:cs="Times New Roman" w:eastAsia="Times New Roman" w:hAnsi="Times New Roman"/>
                  <w:sz w:val="18"/>
                  <w:szCs w:val="18"/>
                  <w:color w:val="0000FF"/>
                  <w:w w:val="70"/>
                </w:rPr>
                <w:t>27,</w:t>
              </w:r>
            </w:hyperlink>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72">
              <w:r>
                <w:rPr>
                  <w:rFonts w:ascii="Times New Roman" w:cs="Times New Roman" w:eastAsia="Times New Roman" w:hAnsi="Times New Roman"/>
                  <w:sz w:val="18"/>
                  <w:szCs w:val="18"/>
                  <w:color w:val="0000FF"/>
                  <w:w w:val="95"/>
                </w:rPr>
                <w:t>2015)</w:t>
              </w:r>
            </w:hyperlink>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82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10.2(a)</w:t>
            </w:r>
          </w:p>
        </w:tc>
        <w:tc>
          <w:tcPr>
            <w:tcW w:w="9960" w:type="dxa"/>
            <w:vAlign w:val="bottom"/>
            <w:gridSpan w:val="39"/>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Form of Convertible Note Hedges related to the Company's 1.625% Convertible Senior Note due 2023 (incorporated by reference to</w:t>
              </w:r>
            </w:hyperlink>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Exhibit 10.6(a) to the Company’s Annual Report on Form 10-K filed with the Commission on February 14, 2022)</w:t>
              </w:r>
            </w:hyperlink>
          </w:p>
        </w:tc>
        <w:tc>
          <w:tcPr>
            <w:tcW w:w="1340" w:type="dxa"/>
            <w:vAlign w:val="bottom"/>
            <w:tcBorders>
              <w:top w:val="single" w:sz="8" w:color="0000FF"/>
            </w:tcBorders>
            <w:gridSpan w:val="10"/>
          </w:tcPr>
          <w:p>
            <w:pPr>
              <w:spacing w:after="0"/>
              <w:rPr>
                <w:sz w:val="13"/>
                <w:szCs w:val="13"/>
                <w:color w:val="auto"/>
              </w:rPr>
            </w:pPr>
          </w:p>
        </w:tc>
        <w:tc>
          <w:tcPr>
            <w:tcW w:w="320" w:type="dxa"/>
            <w:vAlign w:val="bottom"/>
            <w:gridSpan w:val="9"/>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7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10.2(b)</w:t>
            </w:r>
          </w:p>
        </w:tc>
        <w:tc>
          <w:tcPr>
            <w:tcW w:w="9960" w:type="dxa"/>
            <w:vAlign w:val="bottom"/>
            <w:gridSpan w:val="39"/>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Form of Warrant Confirmation for Warrants related to the Company's 1.625% Convertible Senior Note due 2023 (incorporated by</w:t>
              </w:r>
            </w:hyperlink>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3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reference to Exhibit 10.6(b) to the Company’s Annual Report on Form 10-K filed with the Commission on February 14, 2022)</w:t>
              </w:r>
            </w:hyperlink>
          </w:p>
        </w:tc>
        <w:tc>
          <w:tcPr>
            <w:tcW w:w="160" w:type="dxa"/>
            <w:vAlign w:val="bottom"/>
            <w:gridSpan w:val="2"/>
          </w:tcPr>
          <w:p>
            <w:pPr>
              <w:spacing w:after="0"/>
              <w:rPr>
                <w:sz w:val="13"/>
                <w:szCs w:val="13"/>
                <w:color w:val="auto"/>
              </w:rPr>
            </w:pPr>
          </w:p>
        </w:tc>
        <w:tc>
          <w:tcPr>
            <w:tcW w:w="340" w:type="dxa"/>
            <w:vAlign w:val="bottom"/>
            <w:gridSpan w:val="10"/>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240" w:type="dxa"/>
            <w:vAlign w:val="bottom"/>
            <w:gridSpan w:val="3"/>
          </w:tcPr>
          <w:p>
            <w:pPr>
              <w:spacing w:after="0" w:line="20" w:lineRule="exact"/>
              <w:rPr>
                <w:sz w:val="1"/>
                <w:szCs w:val="1"/>
                <w:color w:val="auto"/>
              </w:rPr>
            </w:pPr>
          </w:p>
        </w:tc>
        <w:tc>
          <w:tcPr>
            <w:tcW w:w="9100" w:type="dxa"/>
            <w:vAlign w:val="bottom"/>
            <w:gridSpan w:val="18"/>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7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10.3(a)</w:t>
            </w:r>
          </w:p>
        </w:tc>
        <w:tc>
          <w:tcPr>
            <w:tcW w:w="9960" w:type="dxa"/>
            <w:vAlign w:val="bottom"/>
            <w:gridSpan w:val="39"/>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ON Semiconductor Corporation Amended and Restated Stock Incentive Plan (as amended and restated February 11, 2022) (incorporated</w:t>
              </w:r>
            </w:hyperlink>
          </w:p>
        </w:tc>
      </w:tr>
      <w:tr>
        <w:trPr>
          <w:trHeight w:val="155"/>
        </w:trPr>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by reference to Exhibit 10.7(a) to the Company’s Annual Report on Form 10-K filed with the Commission on February 14, 2022)(2)</w:t>
              </w:r>
            </w:hyperlink>
          </w:p>
        </w:tc>
        <w:tc>
          <w:tcPr>
            <w:tcW w:w="100" w:type="dxa"/>
            <w:vAlign w:val="bottom"/>
            <w:gridSpan w:val="5"/>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10.3(b)</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Restricted Stock Units Award Agreement under the ON Semiconductor Amended and Restated Stock Incentive Plan (2021 form</w:t>
              </w:r>
            </w:hyperlink>
          </w:p>
        </w:tc>
      </w:tr>
      <w:tr>
        <w:trPr>
          <w:trHeight w:val="156"/>
        </w:trPr>
        <w:tc>
          <w:tcPr>
            <w:tcW w:w="1220" w:type="dxa"/>
            <w:vAlign w:val="bottom"/>
          </w:tcPr>
          <w:p>
            <w:pPr>
              <w:spacing w:after="0"/>
              <w:rPr>
                <w:sz w:val="13"/>
                <w:szCs w:val="13"/>
                <w:color w:val="auto"/>
              </w:rPr>
            </w:pPr>
          </w:p>
        </w:tc>
        <w:tc>
          <w:tcPr>
            <w:tcW w:w="92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agreement for Senior Employee Group) (incorporated by reference to Exhibit 10.4 to the Company’s Quarterly Report on Form</w:t>
              </w:r>
            </w:hyperlink>
          </w:p>
        </w:tc>
        <w:tc>
          <w:tcPr>
            <w:tcW w:w="840" w:type="dxa"/>
            <w:vAlign w:val="bottom"/>
            <w:gridSpan w:val="25"/>
          </w:tcPr>
          <w:p>
            <w:pPr>
              <w:jc w:val="center"/>
              <w:ind w:right="120"/>
              <w:spacing w:after="0" w:line="156" w:lineRule="exact"/>
              <w:rPr>
                <w:rFonts w:ascii="Times New Roman" w:cs="Times New Roman" w:eastAsia="Times New Roman" w:hAnsi="Times New Roman"/>
                <w:sz w:val="18"/>
                <w:szCs w:val="18"/>
                <w:color w:val="0000FF"/>
                <w:w w:val="96"/>
              </w:rPr>
            </w:pPr>
            <w:hyperlink r:id="rId77">
              <w:r>
                <w:rPr>
                  <w:rFonts w:ascii="Times New Roman" w:cs="Times New Roman" w:eastAsia="Times New Roman" w:hAnsi="Times New Roman"/>
                  <w:sz w:val="18"/>
                  <w:szCs w:val="18"/>
                  <w:color w:val="0000FF"/>
                  <w:w w:val="96"/>
                </w:rPr>
                <w:t>10-Q filed</w:t>
              </w:r>
            </w:hyperlink>
          </w:p>
        </w:tc>
      </w:tr>
      <w:tr>
        <w:trPr>
          <w:trHeight w:val="169"/>
        </w:trPr>
        <w:tc>
          <w:tcPr>
            <w:tcW w:w="1220" w:type="dxa"/>
            <w:vAlign w:val="bottom"/>
          </w:tcPr>
          <w:p>
            <w:pPr>
              <w:spacing w:after="0"/>
              <w:rPr>
                <w:sz w:val="14"/>
                <w:szCs w:val="14"/>
                <w:color w:val="auto"/>
              </w:rPr>
            </w:pPr>
          </w:p>
        </w:tc>
        <w:tc>
          <w:tcPr>
            <w:tcW w:w="9980" w:type="dxa"/>
            <w:vAlign w:val="bottom"/>
            <w:tcBorders>
              <w:top w:val="single" w:sz="8" w:color="0000FF"/>
            </w:tcBorders>
            <w:gridSpan w:val="39"/>
          </w:tcPr>
          <w:p>
            <w:pPr>
              <w:spacing w:after="0" w:line="16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with the Commission on May 3, 2021)(2)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10.3(c)</w:t>
            </w:r>
          </w:p>
        </w:tc>
        <w:tc>
          <w:tcPr>
            <w:tcW w:w="986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Performance-Based Restricted Stock Units Award Agreement under the ON Semiconductor Amended and Restated Stock Incentive Plan</w:t>
              </w:r>
            </w:hyperlink>
          </w:p>
        </w:tc>
        <w:tc>
          <w:tcPr>
            <w:tcW w:w="220" w:type="dxa"/>
            <w:vAlign w:val="bottom"/>
            <w:gridSpan w:val="9"/>
          </w:tcPr>
          <w:p>
            <w:pPr>
              <w:spacing w:after="0"/>
              <w:rPr>
                <w:sz w:val="22"/>
                <w:szCs w:val="22"/>
                <w:color w:val="auto"/>
              </w:rPr>
            </w:pPr>
          </w:p>
        </w:tc>
      </w:tr>
      <w:tr>
        <w:trPr>
          <w:trHeight w:val="155"/>
        </w:trPr>
        <w:tc>
          <w:tcPr>
            <w:tcW w:w="1220" w:type="dxa"/>
            <w:vAlign w:val="bottom"/>
          </w:tcPr>
          <w:p>
            <w:pPr>
              <w:spacing w:after="0"/>
              <w:rPr>
                <w:sz w:val="13"/>
                <w:szCs w:val="13"/>
                <w:color w:val="auto"/>
              </w:rPr>
            </w:pPr>
          </w:p>
        </w:tc>
        <w:tc>
          <w:tcPr>
            <w:tcW w:w="10080" w:type="dxa"/>
            <w:vAlign w:val="bottom"/>
            <w:gridSpan w:val="44"/>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(2021 form agreement for Tier I Employees) (incorporated by reference to Exhibit 10.3 to the Company’s Quarterly Report on Form 10-Q</w:t>
              </w:r>
            </w:hyperlink>
          </w:p>
        </w:tc>
      </w:tr>
      <w:tr>
        <w:trPr>
          <w:trHeight w:val="169"/>
        </w:trPr>
        <w:tc>
          <w:tcPr>
            <w:tcW w:w="1220" w:type="dxa"/>
            <w:vAlign w:val="bottom"/>
          </w:tcPr>
          <w:p>
            <w:pPr>
              <w:spacing w:after="0"/>
              <w:rPr>
                <w:sz w:val="14"/>
                <w:szCs w:val="14"/>
                <w:color w:val="auto"/>
              </w:rPr>
            </w:pPr>
          </w:p>
        </w:tc>
        <w:tc>
          <w:tcPr>
            <w:tcW w:w="994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filed with the Commission on May 3, 2021)(2)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10.3(d)</w:t>
            </w:r>
          </w:p>
        </w:tc>
        <w:tc>
          <w:tcPr>
            <w:tcW w:w="93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Form of Annual Restricted Stock Unit Award Agreement under the ON Semiconductor Corporation Amended and Restated Stock</w:t>
              </w:r>
            </w:hyperlink>
          </w:p>
        </w:tc>
        <w:tc>
          <w:tcPr>
            <w:tcW w:w="720" w:type="dxa"/>
            <w:vAlign w:val="bottom"/>
            <w:gridSpan w:val="23"/>
          </w:tcPr>
          <w:p>
            <w:pPr>
              <w:spacing w:after="0"/>
              <w:rPr>
                <w:sz w:val="22"/>
                <w:szCs w:val="22"/>
                <w:color w:val="auto"/>
              </w:rPr>
            </w:pPr>
          </w:p>
        </w:tc>
      </w:tr>
      <w:tr>
        <w:trPr>
          <w:trHeight w:val="156"/>
        </w:trPr>
        <w:tc>
          <w:tcPr>
            <w:tcW w:w="1220" w:type="dxa"/>
            <w:vAlign w:val="bottom"/>
          </w:tcPr>
          <w:p>
            <w:pPr>
              <w:spacing w:after="0"/>
              <w:rPr>
                <w:sz w:val="13"/>
                <w:szCs w:val="13"/>
                <w:color w:val="auto"/>
              </w:rPr>
            </w:pPr>
          </w:p>
        </w:tc>
        <w:tc>
          <w:tcPr>
            <w:tcW w:w="10080" w:type="dxa"/>
            <w:vAlign w:val="bottom"/>
            <w:gridSpan w:val="44"/>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Incentive Plan (2022 2023 and 2024) (incorporated by reference to Exhibit 10.1 to the Company’s Quarterly Report on Form 10-Q filed</w:t>
              </w:r>
            </w:hyperlink>
          </w:p>
        </w:tc>
      </w:tr>
      <w:tr>
        <w:trPr>
          <w:trHeight w:val="169"/>
        </w:trPr>
        <w:tc>
          <w:tcPr>
            <w:tcW w:w="1220" w:type="dxa"/>
            <w:vAlign w:val="bottom"/>
          </w:tcPr>
          <w:p>
            <w:pPr>
              <w:spacing w:after="0"/>
              <w:rPr>
                <w:sz w:val="14"/>
                <w:szCs w:val="14"/>
                <w:color w:val="auto"/>
              </w:rPr>
            </w:pPr>
          </w:p>
        </w:tc>
        <w:tc>
          <w:tcPr>
            <w:tcW w:w="978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with the Commission on May 2, 2022)(2)</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10.3(e)</w:t>
            </w:r>
          </w:p>
        </w:tc>
        <w:tc>
          <w:tcPr>
            <w:tcW w:w="97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Form of Annual Performance-Based Restricted Stock Unit Award Agreement under the ON Semiconductor Corporation Amended and</w:t>
              </w:r>
            </w:hyperlink>
          </w:p>
        </w:tc>
        <w:tc>
          <w:tcPr>
            <w:tcW w:w="360" w:type="dxa"/>
            <w:vAlign w:val="bottom"/>
            <w:gridSpan w:val="14"/>
          </w:tcPr>
          <w:p>
            <w:pPr>
              <w:spacing w:after="0"/>
              <w:rPr>
                <w:sz w:val="22"/>
                <w:szCs w:val="22"/>
                <w:color w:val="auto"/>
              </w:rPr>
            </w:pPr>
          </w:p>
        </w:tc>
      </w:tr>
      <w:tr>
        <w:trPr>
          <w:trHeight w:val="156"/>
        </w:trPr>
        <w:tc>
          <w:tcPr>
            <w:tcW w:w="1220" w:type="dxa"/>
            <w:vAlign w:val="bottom"/>
          </w:tcPr>
          <w:p>
            <w:pPr>
              <w:spacing w:after="0"/>
              <w:rPr>
                <w:sz w:val="13"/>
                <w:szCs w:val="13"/>
                <w:color w:val="auto"/>
              </w:rPr>
            </w:pPr>
          </w:p>
        </w:tc>
        <w:tc>
          <w:tcPr>
            <w:tcW w:w="10080" w:type="dxa"/>
            <w:vAlign w:val="bottom"/>
            <w:gridSpan w:val="44"/>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Restated Stock Incentive Plan (2022 form agreement) (incorporated by reference to Exhibit 10.2 to the Company’s Quarterly Report on</w:t>
              </w:r>
            </w:hyperlink>
          </w:p>
        </w:tc>
      </w:tr>
      <w:tr>
        <w:trPr>
          <w:trHeight w:val="169"/>
        </w:trPr>
        <w:tc>
          <w:tcPr>
            <w:tcW w:w="1220" w:type="dxa"/>
            <w:vAlign w:val="bottom"/>
          </w:tcPr>
          <w:p>
            <w:pPr>
              <w:spacing w:after="0"/>
              <w:rPr>
                <w:sz w:val="14"/>
                <w:szCs w:val="14"/>
                <w:color w:val="auto"/>
              </w:rPr>
            </w:pPr>
          </w:p>
        </w:tc>
        <w:tc>
          <w:tcPr>
            <w:tcW w:w="422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Form 10-Q filed with the Commission on May 2, 2022)(2)</w:t>
              </w:r>
            </w:hyperlink>
          </w:p>
        </w:tc>
        <w:tc>
          <w:tcPr>
            <w:tcW w:w="5520" w:type="dxa"/>
            <w:vAlign w:val="bottom"/>
            <w:tcBorders>
              <w:top w:val="single" w:sz="8" w:color="0000FF"/>
            </w:tcBorders>
            <w:gridSpan w:val="21"/>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10.3(f)</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Form of Annual Performance-Based Restricted Stock Unit Award Agreement under the ON Semiconductor Corporation Amended and</w:t>
              </w:r>
            </w:hyperlink>
          </w:p>
        </w:tc>
      </w:tr>
      <w:tr>
        <w:trPr>
          <w:trHeight w:val="183"/>
        </w:trPr>
        <w:tc>
          <w:tcPr>
            <w:tcW w:w="1220" w:type="dxa"/>
            <w:vAlign w:val="bottom"/>
          </w:tcPr>
          <w:p>
            <w:pPr>
              <w:spacing w:after="0"/>
              <w:rPr>
                <w:sz w:val="15"/>
                <w:szCs w:val="15"/>
                <w:color w:val="auto"/>
              </w:rPr>
            </w:pPr>
          </w:p>
        </w:tc>
        <w:tc>
          <w:tcPr>
            <w:tcW w:w="972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Restated Stock Incentive Plan (2023 and 2024) (incorporated by reference to Exhibit 10.3 to the Company’s Quarterly Report on Form</w:t>
              </w:r>
            </w:hyperlink>
          </w:p>
        </w:tc>
        <w:tc>
          <w:tcPr>
            <w:tcW w:w="340" w:type="dxa"/>
            <w:vAlign w:val="bottom"/>
            <w:gridSpan w:val="13"/>
          </w:tcPr>
          <w:p>
            <w:pPr>
              <w:jc w:val="right"/>
              <w:ind w:right="80"/>
              <w:spacing w:after="0" w:line="182"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10-</w:t>
              </w:r>
            </w:hyperlink>
          </w:p>
        </w:tc>
        <w:tc>
          <w:tcPr>
            <w:tcW w:w="20" w:type="dxa"/>
            <w:vAlign w:val="bottom"/>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354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Q filed with the Commission on May 1, 2023)(2)</w:t>
              </w:r>
            </w:hyperlink>
          </w:p>
        </w:tc>
        <w:tc>
          <w:tcPr>
            <w:tcW w:w="6500" w:type="dxa"/>
            <w:vAlign w:val="bottom"/>
            <w:tcBorders>
              <w:top w:val="single" w:sz="8" w:color="0000FF"/>
            </w:tcBorders>
            <w:gridSpan w:val="3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10.3(g)</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Restricted Stock Units Award Agreement under the ON Semiconductor Corporation Amended and Restated Stock Incentive Plan for Thad</w:t>
              </w:r>
            </w:hyperlink>
          </w:p>
        </w:tc>
      </w:tr>
      <w:tr>
        <w:trPr>
          <w:trHeight w:val="155"/>
        </w:trPr>
        <w:tc>
          <w:tcPr>
            <w:tcW w:w="1220" w:type="dxa"/>
            <w:vAlign w:val="bottom"/>
          </w:tcPr>
          <w:p>
            <w:pPr>
              <w:spacing w:after="0"/>
              <w:rPr>
                <w:sz w:val="13"/>
                <w:szCs w:val="13"/>
                <w:color w:val="auto"/>
              </w:rPr>
            </w:pPr>
          </w:p>
        </w:tc>
        <w:tc>
          <w:tcPr>
            <w:tcW w:w="1002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Trent, dated February 16, 2021 (incorporated by reference to Exhibit 10.2 to the Company’s Quarterly Report on Form 10-Q filed with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82">
              <w:r>
                <w:rPr>
                  <w:rFonts w:ascii="Times New Roman" w:cs="Times New Roman" w:eastAsia="Times New Roman" w:hAnsi="Times New Roman"/>
                  <w:sz w:val="18"/>
                  <w:szCs w:val="18"/>
                  <w:color w:val="0000FF"/>
                  <w:w w:val="98"/>
                </w:rPr>
                <w:t>Commission on May 3, 2021)(2)</w:t>
              </w:r>
            </w:hyperlink>
          </w:p>
        </w:tc>
        <w:tc>
          <w:tcPr>
            <w:tcW w:w="7640" w:type="dxa"/>
            <w:vAlign w:val="bottom"/>
            <w:tcBorders>
              <w:top w:val="single" w:sz="8" w:color="0000FF"/>
            </w:tcBorders>
            <w:gridSpan w:val="3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10.3(h)</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Performance-Based Restricted Stock Units Award Agreement under the ON Semiconductor Corporation Amended and Restated Stock</w:t>
              </w:r>
            </w:hyperlink>
          </w:p>
        </w:tc>
      </w:tr>
      <w:tr>
        <w:trPr>
          <w:trHeight w:val="155"/>
        </w:trPr>
        <w:tc>
          <w:tcPr>
            <w:tcW w:w="1220" w:type="dxa"/>
            <w:vAlign w:val="bottom"/>
          </w:tcPr>
          <w:p>
            <w:pPr>
              <w:spacing w:after="0"/>
              <w:rPr>
                <w:sz w:val="13"/>
                <w:szCs w:val="13"/>
                <w:color w:val="auto"/>
              </w:rPr>
            </w:pPr>
          </w:p>
        </w:tc>
        <w:tc>
          <w:tcPr>
            <w:tcW w:w="97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Incentive Plan for Thad Trent, dated February 16, 2021 (incorporated by reference to Exhibit 10.3 to the Company’s Quarterly Report</w:t>
              </w:r>
            </w:hyperlink>
          </w:p>
        </w:tc>
        <w:tc>
          <w:tcPr>
            <w:tcW w:w="380" w:type="dxa"/>
            <w:vAlign w:val="bottom"/>
            <w:gridSpan w:val="15"/>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on</w:t>
              </w:r>
            </w:hyperlink>
          </w:p>
        </w:tc>
      </w:tr>
      <w:tr>
        <w:trPr>
          <w:trHeight w:val="169"/>
        </w:trPr>
        <w:tc>
          <w:tcPr>
            <w:tcW w:w="1220" w:type="dxa"/>
            <w:vAlign w:val="bottom"/>
          </w:tcPr>
          <w:p>
            <w:pPr>
              <w:spacing w:after="0"/>
              <w:rPr>
                <w:sz w:val="14"/>
                <w:szCs w:val="14"/>
                <w:color w:val="auto"/>
              </w:rPr>
            </w:pPr>
          </w:p>
        </w:tc>
        <w:tc>
          <w:tcPr>
            <w:tcW w:w="422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Form 10-Q filed with the Commission on May 3, 2021)(2)</w:t>
              </w:r>
            </w:hyperlink>
          </w:p>
        </w:tc>
        <w:tc>
          <w:tcPr>
            <w:tcW w:w="564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10.3(i)</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Restricted Stock Award Agreement for Directors under the ON Semiconductor Corporation Amended and Restated Stock</w:t>
              </w:r>
            </w:hyperlink>
          </w:p>
        </w:tc>
      </w:tr>
      <w:tr>
        <w:trPr>
          <w:trHeight w:val="20"/>
        </w:trPr>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220" w:type="dxa"/>
            <w:vAlign w:val="bottom"/>
          </w:tcPr>
          <w:p>
            <w:pPr>
              <w:spacing w:after="0"/>
              <w:rPr>
                <w:sz w:val="13"/>
                <w:szCs w:val="13"/>
                <w:color w:val="auto"/>
              </w:rPr>
            </w:pPr>
          </w:p>
        </w:tc>
        <w:tc>
          <w:tcPr>
            <w:tcW w:w="10080" w:type="dxa"/>
            <w:vAlign w:val="bottom"/>
            <w:gridSpan w:val="44"/>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Incentive Plan (2022, 2023 and 2024) (incorporated by reference to Exhibit 10.1 to the Company’s Quarterly Report on Form 10-Q filed</w:t>
              </w:r>
            </w:hyperlink>
          </w:p>
        </w:tc>
      </w:tr>
      <w:tr>
        <w:trPr>
          <w:trHeight w:val="169"/>
        </w:trPr>
        <w:tc>
          <w:tcPr>
            <w:tcW w:w="1220" w:type="dxa"/>
            <w:vAlign w:val="bottom"/>
          </w:tcPr>
          <w:p>
            <w:pPr>
              <w:spacing w:after="0"/>
              <w:rPr>
                <w:sz w:val="14"/>
                <w:szCs w:val="14"/>
                <w:color w:val="auto"/>
              </w:rPr>
            </w:pPr>
          </w:p>
        </w:tc>
        <w:tc>
          <w:tcPr>
            <w:tcW w:w="31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with the Commission on August 1, 2022)(2)</w:t>
              </w:r>
            </w:hyperlink>
          </w:p>
        </w:tc>
        <w:tc>
          <w:tcPr>
            <w:tcW w:w="664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10.3(j)</w:t>
            </w:r>
          </w:p>
        </w:tc>
        <w:tc>
          <w:tcPr>
            <w:tcW w:w="1008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Form of Restricted Stock Units Agreement for Directors under the ON Semiconductor Corporation Amended and Restated Stock</w:t>
            </w:r>
          </w:p>
        </w:tc>
      </w:tr>
      <w:tr>
        <w:trPr>
          <w:trHeight w:val="156"/>
        </w:trPr>
        <w:tc>
          <w:tcPr>
            <w:tcW w:w="122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Incentive Plan (2024 form) (1)(2)</w:t>
            </w:r>
          </w:p>
        </w:tc>
        <w:tc>
          <w:tcPr>
            <w:tcW w:w="6880" w:type="dxa"/>
            <w:vAlign w:val="bottom"/>
            <w:tcBorders>
              <w:top w:val="single" w:sz="8" w:color="0000FF"/>
            </w:tcBorders>
            <w:gridSpan w:val="15"/>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ON Semiconductor Corporation 2000 Employee Stock Purchase Plan (as amended and restated effective August 16, 2024) (incorporated</w:t>
              </w:r>
            </w:hyperlink>
          </w:p>
        </w:tc>
      </w:tr>
      <w:tr>
        <w:trPr>
          <w:trHeight w:val="155"/>
        </w:trPr>
        <w:tc>
          <w:tcPr>
            <w:tcW w:w="122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by reference to Exhibit 10.1 to the Company’s Quarterly Report on Form 10-Q filed with the Commission on October 28, 2024)(2)</w:t>
              </w:r>
            </w:hyperlink>
          </w:p>
        </w:tc>
        <w:tc>
          <w:tcPr>
            <w:tcW w:w="42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Employment Agreement by and between Semiconductor Components Industries, LLC and Hassane S. El-Khoury, dated December 7,</w:t>
              </w:r>
            </w:hyperlink>
          </w:p>
        </w:tc>
      </w:tr>
      <w:tr>
        <w:trPr>
          <w:trHeight w:val="20"/>
        </w:trPr>
        <w:tc>
          <w:tcPr>
            <w:tcW w:w="1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380" w:type="dxa"/>
            <w:vAlign w:val="bottom"/>
            <w:gridSpan w:val="8"/>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220" w:type="dxa"/>
            <w:vAlign w:val="bottom"/>
          </w:tcPr>
          <w:p>
            <w:pPr>
              <w:spacing w:after="0"/>
              <w:rPr>
                <w:sz w:val="13"/>
                <w:szCs w:val="13"/>
                <w:color w:val="auto"/>
              </w:rPr>
            </w:pPr>
          </w:p>
        </w:tc>
        <w:tc>
          <w:tcPr>
            <w:tcW w:w="10080" w:type="dxa"/>
            <w:vAlign w:val="bottom"/>
            <w:gridSpan w:val="44"/>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2020 (incorporated by reference to Exhibit 10.16 to the Company's Annual Report on Form 10-K filed with the Commission on February</w:t>
              </w:r>
            </w:hyperlink>
          </w:p>
        </w:tc>
      </w:tr>
      <w:tr>
        <w:trPr>
          <w:trHeight w:val="169"/>
        </w:trPr>
        <w:tc>
          <w:tcPr>
            <w:tcW w:w="1220" w:type="dxa"/>
            <w:vAlign w:val="bottom"/>
          </w:tcPr>
          <w:p>
            <w:pPr>
              <w:spacing w:after="0"/>
              <w:rPr>
                <w:sz w:val="14"/>
                <w:szCs w:val="14"/>
                <w:color w:val="auto"/>
              </w:rPr>
            </w:pPr>
          </w:p>
        </w:tc>
        <w:tc>
          <w:tcPr>
            <w:tcW w:w="9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7"/>
              </w:rPr>
            </w:pPr>
            <w:hyperlink r:id="rId85">
              <w:r>
                <w:rPr>
                  <w:rFonts w:ascii="Times New Roman" w:cs="Times New Roman" w:eastAsia="Times New Roman" w:hAnsi="Times New Roman"/>
                  <w:sz w:val="18"/>
                  <w:szCs w:val="18"/>
                  <w:color w:val="0000FF"/>
                  <w:w w:val="97"/>
                </w:rPr>
                <w:t>16, 2021)(2)</w:t>
              </w:r>
            </w:hyperlink>
          </w:p>
        </w:tc>
        <w:tc>
          <w:tcPr>
            <w:tcW w:w="1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Employment Agreement by and between Semiconductor Components Industries, LLC and Thad Trent, dated February 16, 2021</w:t>
              </w:r>
            </w:hyperlink>
          </w:p>
        </w:tc>
      </w:tr>
      <w:tr>
        <w:trPr>
          <w:trHeight w:val="155"/>
        </w:trPr>
        <w:tc>
          <w:tcPr>
            <w:tcW w:w="1220" w:type="dxa"/>
            <w:vAlign w:val="bottom"/>
          </w:tcPr>
          <w:p>
            <w:pPr>
              <w:spacing w:after="0"/>
              <w:rPr>
                <w:sz w:val="13"/>
                <w:szCs w:val="13"/>
                <w:color w:val="auto"/>
              </w:rPr>
            </w:pPr>
          </w:p>
        </w:tc>
        <w:tc>
          <w:tcPr>
            <w:tcW w:w="92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(incorporated by reference to Exhibit 10.1 to the Company’s Quarterly Report on Form 10-Q filed with the Commission on May</w:t>
              </w:r>
            </w:hyperlink>
          </w:p>
        </w:tc>
        <w:tc>
          <w:tcPr>
            <w:tcW w:w="740" w:type="dxa"/>
            <w:vAlign w:val="bottom"/>
            <w:gridSpan w:val="20"/>
          </w:tcPr>
          <w:p>
            <w:pPr>
              <w:jc w:val="center"/>
              <w:ind w:right="60"/>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3, 2021)</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2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85"/>
              </w:rPr>
            </w:pPr>
            <w:hyperlink r:id="rId86">
              <w:r>
                <w:rPr>
                  <w:rFonts w:ascii="Times New Roman" w:cs="Times New Roman" w:eastAsia="Times New Roman" w:hAnsi="Times New Roman"/>
                  <w:sz w:val="18"/>
                  <w:szCs w:val="18"/>
                  <w:color w:val="0000FF"/>
                  <w:w w:val="85"/>
                </w:rPr>
                <w:t>(2)</w:t>
              </w:r>
            </w:hyperlink>
          </w:p>
        </w:tc>
        <w:tc>
          <w:tcPr>
            <w:tcW w:w="2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Form of Employment Agreement for Executive Vice Presidents/Group Presidents (incorporated by reference to Exhibit 10.1 to the</w:t>
              </w:r>
            </w:hyperlink>
          </w:p>
        </w:tc>
      </w:tr>
      <w:tr>
        <w:trPr>
          <w:trHeight w:val="155"/>
        </w:trPr>
        <w:tc>
          <w:tcPr>
            <w:tcW w:w="1220" w:type="dxa"/>
            <w:vAlign w:val="bottom"/>
          </w:tcPr>
          <w:p>
            <w:pPr>
              <w:spacing w:after="0"/>
              <w:rPr>
                <w:sz w:val="13"/>
                <w:szCs w:val="13"/>
                <w:color w:val="auto"/>
              </w:rPr>
            </w:pPr>
          </w:p>
        </w:tc>
        <w:tc>
          <w:tcPr>
            <w:tcW w:w="94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Company’s Current Report on Form 8-K filed with the Commission on March 4, 2024)(2)</w:t>
              </w:r>
            </w:hyperlink>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60" w:type="dxa"/>
            <w:vAlign w:val="bottom"/>
            <w:gridSpan w:val="9"/>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Form of Employment Agreement for Senior Vice Presidents (Direct Reports to Chief Executive Officer) (incorporated by reference to</w:t>
              </w:r>
            </w:hyperlink>
          </w:p>
        </w:tc>
      </w:tr>
      <w:tr>
        <w:trPr>
          <w:trHeight w:val="155"/>
        </w:trPr>
        <w:tc>
          <w:tcPr>
            <w:tcW w:w="1220" w:type="dxa"/>
            <w:vAlign w:val="bottom"/>
          </w:tcPr>
          <w:p>
            <w:pPr>
              <w:spacing w:after="0"/>
              <w:rPr>
                <w:sz w:val="13"/>
                <w:szCs w:val="13"/>
                <w:color w:val="auto"/>
              </w:rPr>
            </w:pPr>
          </w:p>
        </w:tc>
        <w:tc>
          <w:tcPr>
            <w:tcW w:w="81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Exhibit 10.14 to the Company's Annual Report on Form 10-K filed with the Commission on February 5, 2024 (2)</w:t>
              </w:r>
            </w:hyperlink>
          </w:p>
        </w:tc>
        <w:tc>
          <w:tcPr>
            <w:tcW w:w="146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Indemnification Agreement with Directors and Officers (incorporated by reference to Exhibit 10.1 to the Company’s Current</w:t>
              </w:r>
            </w:hyperlink>
          </w:p>
        </w:tc>
      </w:tr>
      <w:tr>
        <w:trPr>
          <w:trHeight w:val="155"/>
        </w:trPr>
        <w:tc>
          <w:tcPr>
            <w:tcW w:w="122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Report on Form 8-K filed with the Commission on February 25, 2016)(2)</w:t>
              </w:r>
            </w:hyperlink>
          </w:p>
        </w:tc>
        <w:tc>
          <w:tcPr>
            <w:tcW w:w="4320" w:type="dxa"/>
            <w:vAlign w:val="bottom"/>
            <w:tcBorders>
              <w:top w:val="single" w:sz="8" w:color="0000FF"/>
            </w:tcBorders>
            <w:gridSpan w:val="1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onsemi Nonqualified Deferred Compensation Plan for senior officers (incorporated by reference to Exhibit 10.1 to the Company’s Current</w:t>
              </w:r>
            </w:hyperlink>
          </w:p>
        </w:tc>
      </w:tr>
      <w:tr>
        <w:trPr>
          <w:trHeight w:val="155"/>
        </w:trPr>
        <w:tc>
          <w:tcPr>
            <w:tcW w:w="12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Report on Form 8-K filed with the Commission on May 22, 2024)(2)</w:t>
              </w:r>
            </w:hyperlink>
          </w:p>
        </w:tc>
        <w:tc>
          <w:tcPr>
            <w:tcW w:w="4980" w:type="dxa"/>
            <w:vAlign w:val="bottom"/>
            <w:tcBorders>
              <w:top w:val="single" w:sz="8" w:color="0000FF"/>
            </w:tcBorders>
            <w:gridSpan w:val="26"/>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Non-employee Director Stock Election and Deferral Plan (incorporated by reference to Exhibit 10.2 to the Company’s Quarterly Report on</w:t>
              </w:r>
            </w:hyperlink>
          </w:p>
        </w:tc>
      </w:tr>
      <w:tr>
        <w:trPr>
          <w:trHeight w:val="155"/>
        </w:trPr>
        <w:tc>
          <w:tcPr>
            <w:tcW w:w="12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Form 10-Q filed with the Commission on July 29, 2024)(2)</w:t>
              </w:r>
            </w:hyperlink>
          </w:p>
        </w:tc>
        <w:tc>
          <w:tcPr>
            <w:tcW w:w="578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0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Settlement Agreement, dated October 19, 2019, by and between ON Semiconductor Corporation and Power Integrations, Inc.</w:t>
              </w:r>
            </w:hyperlink>
          </w:p>
        </w:tc>
        <w:tc>
          <w:tcPr>
            <w:tcW w:w="1040" w:type="dxa"/>
            <w:vAlign w:val="bottom"/>
            <w:gridSpan w:val="27"/>
          </w:tcPr>
          <w:p>
            <w:pPr>
              <w:spacing w:after="0"/>
              <w:rPr>
                <w:sz w:val="24"/>
                <w:szCs w:val="24"/>
                <w:color w:val="auto"/>
              </w:rPr>
            </w:pPr>
          </w:p>
        </w:tc>
      </w:tr>
      <w:tr>
        <w:trPr>
          <w:trHeight w:val="156"/>
        </w:trPr>
        <w:tc>
          <w:tcPr>
            <w:tcW w:w="1220" w:type="dxa"/>
            <w:vAlign w:val="bottom"/>
          </w:tcPr>
          <w:p>
            <w:pPr>
              <w:spacing w:after="0"/>
              <w:rPr>
                <w:sz w:val="13"/>
                <w:szCs w:val="13"/>
                <w:color w:val="auto"/>
              </w:rPr>
            </w:pPr>
          </w:p>
        </w:tc>
        <w:tc>
          <w:tcPr>
            <w:tcW w:w="10080" w:type="dxa"/>
            <w:vAlign w:val="bottom"/>
            <w:gridSpan w:val="44"/>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(incorporated by reference to Exhibit 10.20 to the Company's Annual Report on Form 10-K filed with the Commission on February 19,</w:t>
              </w:r>
            </w:hyperlink>
          </w:p>
        </w:tc>
      </w:tr>
      <w:tr>
        <w:trPr>
          <w:trHeight w:val="169"/>
        </w:trPr>
        <w:tc>
          <w:tcPr>
            <w:tcW w:w="1220" w:type="dxa"/>
            <w:vAlign w:val="bottom"/>
          </w:tcPr>
          <w:p>
            <w:pPr>
              <w:spacing w:after="0"/>
              <w:rPr>
                <w:sz w:val="14"/>
                <w:szCs w:val="14"/>
                <w:color w:val="auto"/>
              </w:rPr>
            </w:pPr>
          </w:p>
        </w:tc>
        <w:tc>
          <w:tcPr>
            <w:tcW w:w="4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92">
              <w:r>
                <w:rPr>
                  <w:rFonts w:ascii="Times New Roman" w:cs="Times New Roman" w:eastAsia="Times New Roman" w:hAnsi="Times New Roman"/>
                  <w:sz w:val="18"/>
                  <w:szCs w:val="18"/>
                  <w:color w:val="0000FF"/>
                  <w:w w:val="95"/>
                </w:rPr>
                <w:t>2020)</w:t>
              </w:r>
            </w:hyperlink>
          </w:p>
        </w:tc>
        <w:tc>
          <w:tcPr>
            <w:tcW w:w="48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1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10.13(a)</w:t>
            </w:r>
          </w:p>
        </w:tc>
        <w:tc>
          <w:tcPr>
            <w:tcW w:w="10080" w:type="dxa"/>
            <w:vAlign w:val="bottom"/>
            <w:gridSpan w:val="44"/>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Confirmation for Convertible Notes Hedges related to the Company’s 0% Convertible Senior Note due 2027 (incorporated by</w:t>
              </w:r>
            </w:hyperlink>
          </w:p>
        </w:tc>
      </w:tr>
      <w:tr>
        <w:trPr>
          <w:trHeight w:val="155"/>
        </w:trPr>
        <w:tc>
          <w:tcPr>
            <w:tcW w:w="1220" w:type="dxa"/>
            <w:vAlign w:val="bottom"/>
          </w:tcPr>
          <w:p>
            <w:pPr>
              <w:spacing w:after="0"/>
              <w:rPr>
                <w:sz w:val="13"/>
                <w:szCs w:val="13"/>
                <w:color w:val="auto"/>
              </w:rPr>
            </w:pPr>
          </w:p>
        </w:tc>
        <w:tc>
          <w:tcPr>
            <w:tcW w:w="96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reference to Exhibit 10.1 to the Company’s Current Report on Form 8-K filed with the Commission on May 19, 2021)</w:t>
              </w:r>
            </w:hyperlink>
          </w:p>
        </w:tc>
        <w:tc>
          <w:tcPr>
            <w:tcW w:w="400" w:type="dxa"/>
            <w:vAlign w:val="bottom"/>
            <w:gridSpan w:val="16"/>
          </w:tcPr>
          <w:p>
            <w:pPr>
              <w:spacing w:after="0"/>
              <w:rPr>
                <w:sz w:val="13"/>
                <w:szCs w:val="13"/>
                <w:color w:val="auto"/>
              </w:rPr>
            </w:pPr>
          </w:p>
        </w:tc>
      </w:tr>
      <w:tr>
        <w:trPr>
          <w:trHeight w:val="952"/>
        </w:trPr>
        <w:tc>
          <w:tcPr>
            <w:tcW w:w="1220" w:type="dxa"/>
            <w:vAlign w:val="bottom"/>
          </w:tcPr>
          <w:p>
            <w:pPr>
              <w:spacing w:after="0"/>
              <w:rPr>
                <w:sz w:val="24"/>
                <w:szCs w:val="24"/>
                <w:color w:val="auto"/>
              </w:rPr>
            </w:pPr>
          </w:p>
        </w:tc>
        <w:tc>
          <w:tcPr>
            <w:tcW w:w="4980" w:type="dxa"/>
            <w:vAlign w:val="bottom"/>
            <w:tcBorders>
              <w:top w:val="single" w:sz="8" w:color="0000FF"/>
            </w:tcBorders>
            <w:gridSpan w:val="12"/>
          </w:tcPr>
          <w:p>
            <w:pPr>
              <w:ind w:left="4320"/>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7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10.13(b)</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Confirmation for Warrants related to the Company’s 0% Convertible Senior Note due 2027 (incorporated by reference to Exhibit</w:t>
              </w:r>
            </w:hyperlink>
          </w:p>
        </w:tc>
      </w:tr>
      <w:tr>
        <w:trPr>
          <w:trHeight w:val="156"/>
        </w:trPr>
        <w:tc>
          <w:tcPr>
            <w:tcW w:w="1200" w:type="dxa"/>
            <w:vAlign w:val="bottom"/>
          </w:tcPr>
          <w:p>
            <w:pPr>
              <w:spacing w:after="0"/>
              <w:rPr>
                <w:sz w:val="13"/>
                <w:szCs w:val="13"/>
                <w:color w:val="auto"/>
              </w:rPr>
            </w:pPr>
          </w:p>
        </w:tc>
        <w:tc>
          <w:tcPr>
            <w:tcW w:w="70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Company’s Current Report on Form 8-K filed with the Commission on May 19, 2021)</w:t>
              </w:r>
            </w:hyperlink>
          </w:p>
        </w:tc>
        <w:tc>
          <w:tcPr>
            <w:tcW w:w="28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10.14(a)</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Confirmation for Convertible Note Hedges related to the Company’s 0.50% Convertible Senior Notes due 2029 (incorporated by</w:t>
              </w:r>
            </w:hyperlink>
          </w:p>
        </w:tc>
      </w:tr>
      <w:tr>
        <w:trPr>
          <w:trHeight w:val="156"/>
        </w:trPr>
        <w:tc>
          <w:tcPr>
            <w:tcW w:w="1200" w:type="dxa"/>
            <w:vAlign w:val="bottom"/>
          </w:tcPr>
          <w:p>
            <w:pPr>
              <w:spacing w:after="0"/>
              <w:rPr>
                <w:sz w:val="13"/>
                <w:szCs w:val="13"/>
                <w:color w:val="auto"/>
              </w:rPr>
            </w:pPr>
          </w:p>
        </w:tc>
        <w:tc>
          <w:tcPr>
            <w:tcW w:w="99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reference to Exhibit 10.1 to the Company’s Amendment No. 1 to Current Report on Form 8-K/A filed with the Commission on March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97">
              <w:r>
                <w:rPr>
                  <w:rFonts w:ascii="Times New Roman" w:cs="Times New Roman" w:eastAsia="Times New Roman" w:hAnsi="Times New Roman"/>
                  <w:sz w:val="18"/>
                  <w:szCs w:val="18"/>
                  <w:color w:val="0000FF"/>
                  <w:w w:val="95"/>
                </w:rPr>
                <w:t>2023)</w:t>
              </w:r>
            </w:hyperlink>
          </w:p>
        </w:tc>
        <w:tc>
          <w:tcPr>
            <w:tcW w:w="120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4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3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10.14(b)</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of Confirmation for Warrants related to the Company’s 0.50% Convertible Senior Notes due 2029 (incorporated by reference to</w:t>
              </w:r>
            </w:hyperlink>
          </w:p>
        </w:tc>
      </w:tr>
      <w:tr>
        <w:trPr>
          <w:trHeight w:val="156"/>
        </w:trPr>
        <w:tc>
          <w:tcPr>
            <w:tcW w:w="120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Exhibit 10.2 to the Company’s Amendment No. 1 to Current Report on Form 8-K/A filed with the Commission on March 2, 2023)</w:t>
              </w:r>
            </w:hyperlink>
          </w:p>
        </w:tc>
        <w:tc>
          <w:tcPr>
            <w:tcW w:w="2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10.15(a)</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Credit Agreement, dated as of June 22, 2023, by and among ON Semiconductor Corporation, as borrower, the several lenders party</w:t>
              </w:r>
            </w:hyperlink>
          </w:p>
        </w:tc>
      </w:tr>
      <w:tr>
        <w:trPr>
          <w:trHeight w:val="156"/>
        </w:trPr>
        <w:tc>
          <w:tcPr>
            <w:tcW w:w="1200" w:type="dxa"/>
            <w:vAlign w:val="bottom"/>
          </w:tcPr>
          <w:p>
            <w:pPr>
              <w:spacing w:after="0"/>
              <w:rPr>
                <w:sz w:val="13"/>
                <w:szCs w:val="13"/>
                <w:color w:val="auto"/>
              </w:rPr>
            </w:pPr>
          </w:p>
        </w:tc>
        <w:tc>
          <w:tcPr>
            <w:tcW w:w="94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thereto, JPMorgan Chase Bank, N.A., as administrative agent, JPMorgan Chase Bank, N.A., Bank of America, N.A., Barclays Bank</w:t>
              </w:r>
            </w:hyperlink>
          </w:p>
        </w:tc>
        <w:tc>
          <w:tcPr>
            <w:tcW w:w="40" w:type="dxa"/>
            <w:vAlign w:val="bottom"/>
          </w:tcPr>
          <w:p>
            <w:pPr>
              <w:spacing w:after="0"/>
              <w:rPr>
                <w:sz w:val="13"/>
                <w:szCs w:val="13"/>
                <w:color w:val="auto"/>
              </w:rPr>
            </w:pPr>
          </w:p>
        </w:tc>
        <w:tc>
          <w:tcPr>
            <w:tcW w:w="500" w:type="dxa"/>
            <w:vAlign w:val="bottom"/>
            <w:gridSpan w:val="13"/>
          </w:tcPr>
          <w:p>
            <w:pPr>
              <w:jc w:val="center"/>
              <w:ind w:right="20"/>
              <w:spacing w:after="0" w:line="156" w:lineRule="exact"/>
              <w:rPr>
                <w:rFonts w:ascii="Times New Roman" w:cs="Times New Roman" w:eastAsia="Times New Roman" w:hAnsi="Times New Roman"/>
                <w:sz w:val="18"/>
                <w:szCs w:val="18"/>
                <w:color w:val="0000FF"/>
                <w:w w:val="95"/>
              </w:rPr>
            </w:pPr>
            <w:hyperlink r:id="rId99">
              <w:r>
                <w:rPr>
                  <w:rFonts w:ascii="Times New Roman" w:cs="Times New Roman" w:eastAsia="Times New Roman" w:hAnsi="Times New Roman"/>
                  <w:sz w:val="18"/>
                  <w:szCs w:val="18"/>
                  <w:color w:val="0000FF"/>
                  <w:w w:val="95"/>
                </w:rPr>
                <w:t>PLC,</w:t>
              </w:r>
            </w:hyperlink>
          </w:p>
        </w:tc>
      </w:tr>
      <w:tr>
        <w:trPr>
          <w:trHeight w:val="169"/>
        </w:trPr>
        <w:tc>
          <w:tcPr>
            <w:tcW w:w="1200" w:type="dxa"/>
            <w:vAlign w:val="bottom"/>
          </w:tcPr>
          <w:p>
            <w:pPr>
              <w:spacing w:after="0"/>
              <w:rPr>
                <w:sz w:val="14"/>
                <w:szCs w:val="14"/>
                <w:color w:val="auto"/>
              </w:rPr>
            </w:pPr>
          </w:p>
        </w:tc>
        <w:tc>
          <w:tcPr>
            <w:tcW w:w="994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BMO Capital Markets, Corp., BNP Paribas Securities Corp., Citibank, N.A., Credit Agricole Corporate and Investment Bank, Deutsche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00" w:type="dxa"/>
            <w:vAlign w:val="bottom"/>
          </w:tcPr>
          <w:p>
            <w:pPr>
              <w:spacing w:after="0"/>
              <w:rPr>
                <w:sz w:val="13"/>
                <w:szCs w:val="13"/>
                <w:color w:val="auto"/>
              </w:rPr>
            </w:pPr>
          </w:p>
        </w:tc>
        <w:tc>
          <w:tcPr>
            <w:tcW w:w="97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Bank Securities, Inc., Goldman Sachs Bank USA, HSBC Securities (USA) N.A., Morgan Stanley Senior Funding, Inc., MUFG Bank,</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00" w:type="dxa"/>
            <w:vAlign w:val="bottom"/>
          </w:tcPr>
          <w:p>
            <w:pPr>
              <w:spacing w:after="0"/>
              <w:rPr>
                <w:sz w:val="13"/>
                <w:szCs w:val="13"/>
                <w:color w:val="auto"/>
              </w:rPr>
            </w:pPr>
          </w:p>
        </w:tc>
        <w:tc>
          <w:tcPr>
            <w:tcW w:w="96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LTD, PNC Bank, National Association and Sumitomo Mitsui Banking Corporation, as joint lead arrangers and joint bookrunners and</w:t>
              </w:r>
            </w:hyperlink>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00" w:type="dxa"/>
            <w:vAlign w:val="bottom"/>
          </w:tcPr>
          <w:p>
            <w:pPr>
              <w:spacing w:after="0"/>
              <w:rPr>
                <w:sz w:val="14"/>
                <w:szCs w:val="14"/>
                <w:color w:val="auto"/>
              </w:rPr>
            </w:pPr>
          </w:p>
        </w:tc>
        <w:tc>
          <w:tcPr>
            <w:tcW w:w="958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BMO Capital Markets, as sustainability structuring agent (incorporated by reference to Exhibit 10.1 to the Company’s Current Report</w:t>
              </w:r>
            </w:hyperlink>
          </w:p>
        </w:tc>
        <w:tc>
          <w:tcPr>
            <w:tcW w:w="420" w:type="dxa"/>
            <w:vAlign w:val="bottom"/>
            <w:gridSpan w:val="11"/>
          </w:tcPr>
          <w:p>
            <w:pPr>
              <w:jc w:val="center"/>
              <w:ind w:right="80"/>
              <w:spacing w:after="0" w:line="169"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on</w:t>
              </w:r>
            </w:hyperlink>
          </w:p>
        </w:tc>
      </w:tr>
      <w:tr>
        <w:trPr>
          <w:trHeight w:val="156"/>
        </w:trPr>
        <w:tc>
          <w:tcPr>
            <w:tcW w:w="120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Form 8-K dated June 26, 2023)</w:t>
              </w:r>
            </w:hyperlink>
          </w:p>
        </w:tc>
        <w:tc>
          <w:tcPr>
            <w:tcW w:w="7580" w:type="dxa"/>
            <w:vAlign w:val="bottom"/>
            <w:tcBorders>
              <w:top w:val="single" w:sz="8" w:color="0000FF"/>
            </w:tcBorders>
            <w:gridSpan w:val="16"/>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10.15(b)</w:t>
            </w:r>
          </w:p>
        </w:tc>
        <w:tc>
          <w:tcPr>
            <w:tcW w:w="10000" w:type="dxa"/>
            <w:vAlign w:val="bottom"/>
            <w:gridSpan w:val="25"/>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Guarantee Agreement, dated as of June 22, 2023, among the signatories thereto, as grantors, in favor of JPMorgan Chase Bank, N.A., as</w:t>
              </w:r>
            </w:hyperlink>
          </w:p>
        </w:tc>
      </w:tr>
      <w:tr>
        <w:trPr>
          <w:trHeight w:val="155"/>
        </w:trPr>
        <w:tc>
          <w:tcPr>
            <w:tcW w:w="1200" w:type="dxa"/>
            <w:vAlign w:val="bottom"/>
          </w:tcPr>
          <w:p>
            <w:pPr>
              <w:spacing w:after="0"/>
              <w:rPr>
                <w:sz w:val="13"/>
                <w:szCs w:val="13"/>
                <w:color w:val="auto"/>
              </w:rPr>
            </w:pPr>
          </w:p>
        </w:tc>
        <w:tc>
          <w:tcPr>
            <w:tcW w:w="98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administrative agent (incorporated by reference to Exhibit 10.2 to the Company’s Current Report on Form 8-K dated June 26, 2023)</w:t>
              </w:r>
            </w:hyperlink>
          </w:p>
        </w:tc>
        <w:tc>
          <w:tcPr>
            <w:tcW w:w="1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10.15(c)</w:t>
            </w:r>
          </w:p>
        </w:tc>
        <w:tc>
          <w:tcPr>
            <w:tcW w:w="9500" w:type="dxa"/>
            <w:vAlign w:val="bottom"/>
            <w:tcBorders>
              <w:top w:val="single" w:sz="8" w:color="0000FF"/>
            </w:tcBorders>
            <w:gridSpan w:val="12"/>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Security Agreement, dated as of June 22, 2023, among ON Semiconductor Corporation and the other signatories thereto in favor of</w:t>
              </w:r>
            </w:hyperlink>
          </w:p>
        </w:tc>
        <w:tc>
          <w:tcPr>
            <w:tcW w:w="500" w:type="dxa"/>
            <w:vAlign w:val="bottom"/>
            <w:gridSpan w:val="13"/>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10000" w:type="dxa"/>
            <w:vAlign w:val="bottom"/>
            <w:gridSpan w:val="25"/>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JPMorgan Chase Bank, N.A., as administrative agent (incorporated by reference to Exhibit 10.3 to the Company’s Current Report on</w:t>
              </w:r>
            </w:hyperlink>
          </w:p>
        </w:tc>
      </w:tr>
      <w:tr>
        <w:trPr>
          <w:trHeight w:val="169"/>
        </w:trPr>
        <w:tc>
          <w:tcPr>
            <w:tcW w:w="120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Form 8-K dated June 26, 2023)</w:t>
              </w:r>
            </w:hyperlink>
          </w:p>
        </w:tc>
        <w:tc>
          <w:tcPr>
            <w:tcW w:w="7300" w:type="dxa"/>
            <w:vAlign w:val="bottom"/>
            <w:tcBorders>
              <w:top w:val="single" w:sz="8" w:color="0000FF"/>
            </w:tcBorders>
            <w:gridSpan w:val="10"/>
          </w:tcPr>
          <w:p>
            <w:pPr>
              <w:spacing w:after="0"/>
              <w:rPr>
                <w:sz w:val="14"/>
                <w:szCs w:val="14"/>
                <w:color w:val="auto"/>
              </w:rPr>
            </w:pPr>
          </w:p>
        </w:tc>
        <w:tc>
          <w:tcPr>
            <w:tcW w:w="40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61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onsemi Insider Trading Policy, as amended and restated as of November 16, 2023(1)†</w:t>
            </w:r>
          </w:p>
        </w:tc>
        <w:tc>
          <w:tcPr>
            <w:tcW w:w="3820" w:type="dxa"/>
            <w:vAlign w:val="bottom"/>
            <w:gridSpan w:val="19"/>
          </w:tcPr>
          <w:p>
            <w:pPr>
              <w:spacing w:after="0"/>
              <w:rPr>
                <w:sz w:val="22"/>
                <w:szCs w:val="22"/>
                <w:color w:val="auto"/>
              </w:rPr>
            </w:pPr>
          </w:p>
        </w:tc>
      </w:tr>
      <w:tr>
        <w:trPr>
          <w:trHeight w:val="26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List of Significant Subsidiaries(1)</w:t>
            </w:r>
          </w:p>
        </w:tc>
        <w:tc>
          <w:tcPr>
            <w:tcW w:w="7560" w:type="dxa"/>
            <w:vAlign w:val="bottom"/>
            <w:gridSpan w:val="21"/>
          </w:tcPr>
          <w:p>
            <w:pPr>
              <w:spacing w:after="0"/>
              <w:rPr>
                <w:sz w:val="22"/>
                <w:szCs w:val="22"/>
                <w:color w:val="auto"/>
              </w:rPr>
            </w:pPr>
          </w:p>
        </w:tc>
      </w:tr>
      <w:tr>
        <w:trPr>
          <w:trHeight w:val="26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Firm-PricewaterhouseCoopers LLP(1)</w:t>
            </w:r>
          </w:p>
        </w:tc>
        <w:tc>
          <w:tcPr>
            <w:tcW w:w="3260" w:type="dxa"/>
            <w:vAlign w:val="bottom"/>
            <w:gridSpan w:val="18"/>
          </w:tcPr>
          <w:p>
            <w:pPr>
              <w:spacing w:after="0"/>
              <w:rPr>
                <w:sz w:val="22"/>
                <w:szCs w:val="22"/>
                <w:color w:val="auto"/>
              </w:rPr>
            </w:pPr>
          </w:p>
        </w:tc>
      </w:tr>
      <w:tr>
        <w:trPr>
          <w:trHeight w:val="263"/>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Powers of Attorney(1)</w:t>
            </w:r>
          </w:p>
        </w:tc>
        <w:tc>
          <w:tcPr>
            <w:tcW w:w="8380" w:type="dxa"/>
            <w:vAlign w:val="bottom"/>
            <w:gridSpan w:val="23"/>
          </w:tcPr>
          <w:p>
            <w:pPr>
              <w:spacing w:after="0"/>
              <w:rPr>
                <w:sz w:val="22"/>
                <w:szCs w:val="22"/>
                <w:color w:val="auto"/>
              </w:rPr>
            </w:pPr>
          </w:p>
        </w:tc>
      </w:tr>
      <w:tr>
        <w:trPr>
          <w:trHeight w:val="26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by CEO pursuant to Rule 13a-14(a) or 15d-14(a) of the Securities Exchange Act of 1934, as adopted pursuant to Section 302</w:t>
            </w:r>
          </w:p>
        </w:tc>
      </w:tr>
      <w:tr>
        <w:trPr>
          <w:trHeight w:val="155"/>
        </w:trPr>
        <w:tc>
          <w:tcPr>
            <w:tcW w:w="120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2002(1)</w:t>
            </w:r>
          </w:p>
        </w:tc>
        <w:tc>
          <w:tcPr>
            <w:tcW w:w="72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by CFO pursuant to Rule 13a-14(a) or 15d-14(a) of the Securities Exchange Act of 1934, as adopted pursuant to Section 302</w:t>
            </w:r>
          </w:p>
        </w:tc>
      </w:tr>
      <w:tr>
        <w:trPr>
          <w:trHeight w:val="156"/>
        </w:trPr>
        <w:tc>
          <w:tcPr>
            <w:tcW w:w="120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2002(1)</w:t>
            </w:r>
          </w:p>
        </w:tc>
        <w:tc>
          <w:tcPr>
            <w:tcW w:w="724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90" w:lineRule="exact"/>
        <w:rPr>
          <w:sz w:val="20"/>
          <w:szCs w:val="20"/>
          <w:color w:val="auto"/>
        </w:rPr>
      </w:pPr>
    </w:p>
    <w:p>
      <w:pPr>
        <w:ind w:left="1200" w:right="360" w:hanging="1194"/>
        <w:spacing w:after="0" w:line="237" w:lineRule="auto"/>
        <w:tabs>
          <w:tab w:leader="none" w:pos="1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by CEO and CFO pursuant to 18 U.S.C. Section 1350, as adopted pursuant to Section 906 of the Sarbanes-Oxley Act of 2002(3)</w:t>
      </w:r>
    </w:p>
    <w:p>
      <w:pPr>
        <w:spacing w:after="0" w:line="64" w:lineRule="exact"/>
        <w:rPr>
          <w:sz w:val="20"/>
          <w:szCs w:val="20"/>
          <w:color w:val="auto"/>
        </w:rPr>
      </w:pPr>
    </w:p>
    <w:p>
      <w:pPr>
        <w:ind w:left="1200" w:right="160" w:hanging="1194"/>
        <w:spacing w:after="0" w:line="237" w:lineRule="auto"/>
        <w:tabs>
          <w:tab w:leader="none" w:pos="1200" w:val="left"/>
        </w:tabs>
        <w:numPr>
          <w:ilvl w:val="0"/>
          <w:numId w:val="23"/>
        </w:numPr>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onsemi Dodd-Frank Compensation Recovery Policy (incorporated by reference to Exhibit 97 to the Company’s Annual Report on Form</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10-K filed with the Commission on February 5, 2024)</w:t>
        </w:r>
      </w:hyperlink>
    </w:p>
    <w:p>
      <w:pPr>
        <w:spacing w:after="0" w:line="64"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 Document</w:t>
            </w:r>
          </w:p>
        </w:tc>
      </w:tr>
    </w:tbl>
    <w:p>
      <w:pPr>
        <w:spacing w:after="0" w:line="49" w:lineRule="exact"/>
        <w:rPr>
          <w:rFonts w:ascii="Times New Roman" w:cs="Times New Roman" w:eastAsia="Times New Roman" w:hAnsi="Times New Roman"/>
          <w:sz w:val="18"/>
          <w:szCs w:val="18"/>
          <w:color w:val="auto"/>
        </w:rPr>
      </w:pPr>
    </w:p>
    <w:p>
      <w:pPr>
        <w:ind w:left="1200" w:right="160" w:hanging="1194"/>
        <w:spacing w:after="0" w:line="237" w:lineRule="auto"/>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and contained in Exhibit 101.</w:t>
      </w:r>
    </w:p>
    <w:p>
      <w:pPr>
        <w:spacing w:after="0" w:line="131" w:lineRule="exact"/>
        <w:rPr>
          <w:rFonts w:ascii="Times New Roman" w:cs="Times New Roman" w:eastAsia="Times New Roman" w:hAnsi="Times New Roman"/>
          <w:sz w:val="18"/>
          <w:szCs w:val="18"/>
          <w:color w:val="auto"/>
        </w:rPr>
      </w:pPr>
    </w:p>
    <w:p>
      <w:pPr>
        <w:ind w:left="440" w:right="440" w:hanging="434"/>
        <w:spacing w:after="0" w:line="237" w:lineRule="auto"/>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filed under the Securities Exchange Act (Form 10-K, Form 10-Q and Form 8-K) are filed under File No. 000-30419 and File No. 001-39317.</w:t>
      </w:r>
    </w:p>
    <w:p>
      <w:pPr>
        <w:spacing w:after="0" w:line="118"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44"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contract or arrangement.</w:t>
      </w:r>
    </w:p>
    <w:p>
      <w:pPr>
        <w:spacing w:after="0" w:line="144"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918" w:right="419" w:bottom="1440" w:gutter="0" w:footer="0" w:header="0"/>
        </w:sectPr>
      </w:pPr>
    </w:p>
    <w:bookmarkStart w:id="50" w:name="page51"/>
    <w:bookmarkEnd w:id="50"/>
    <w:p>
      <w:pPr>
        <w:ind w:left="600"/>
        <w:spacing w:after="0"/>
        <w:rPr>
          <w:sz w:val="20"/>
          <w:szCs w:val="20"/>
          <w:color w:val="auto"/>
        </w:rPr>
      </w:pPr>
      <w:r>
        <w:rPr>
          <w:rFonts w:ascii="Times New Roman" w:cs="Times New Roman" w:eastAsia="Times New Roman" w:hAnsi="Times New Roman"/>
          <w:sz w:val="17"/>
          <w:szCs w:val="17"/>
          <w:color w:val="auto"/>
        </w:rPr>
        <w:t>Schedules or portions of this exhibit have been redacted pursuant to Item 601 of Regulation S-K and, upon request by the SEC, onsemi agrees to</w:t>
      </w:r>
    </w:p>
    <w:p>
      <w:pPr>
        <w:ind w:left="600" w:hanging="574"/>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supplementally to the SEC a copy of any omitted schedule or exhibit.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w:t>
      </w:r>
      <w:r>
        <w:rPr>
          <w:rFonts w:ascii="Times New Roman" w:cs="Times New Roman" w:eastAsia="Times New Roman" w:hAnsi="Times New Roman"/>
          <w:sz w:val="18"/>
          <w:szCs w:val="18"/>
          <w:b w:val="1"/>
          <w:bCs w:val="1"/>
          <w:i w:val="1"/>
          <w:iCs w:val="1"/>
          <w:color w:val="auto"/>
        </w:rPr>
        <w:t>.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31" w:right="57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40" w:lineRule="exact"/>
        <w:rPr>
          <w:sz w:val="20"/>
          <w:szCs w:val="20"/>
          <w:color w:val="auto"/>
        </w:rPr>
      </w:pPr>
    </w:p>
    <w:p>
      <w:pPr>
        <w:ind w:left="20"/>
        <w:spacing w:after="0"/>
        <w:tabs>
          <w:tab w:leader="none" w:pos="6920" w:val="left"/>
        </w:tabs>
        <w:rPr>
          <w:sz w:val="20"/>
          <w:szCs w:val="20"/>
          <w:color w:val="auto"/>
        </w:rPr>
      </w:pPr>
      <w:r>
        <w:rPr>
          <w:rFonts w:ascii="Times New Roman" w:cs="Times New Roman" w:eastAsia="Times New Roman" w:hAnsi="Times New Roman"/>
          <w:sz w:val="18"/>
          <w:szCs w:val="18"/>
          <w:color w:val="auto"/>
        </w:rPr>
        <w:t>February 10, 2025</w:t>
      </w:r>
      <w:r>
        <w:rPr>
          <w:sz w:val="20"/>
          <w:szCs w:val="20"/>
          <w:color w:val="auto"/>
        </w:rPr>
        <w:tab/>
      </w:r>
      <w:r>
        <w:rPr>
          <w:rFonts w:ascii="Times New Roman" w:cs="Times New Roman" w:eastAsia="Times New Roman" w:hAnsi="Times New Roman"/>
          <w:sz w:val="17"/>
          <w:szCs w:val="17"/>
          <w:color w:val="auto"/>
        </w:rPr>
        <w:t>ON Semiconductor Corporation</w:t>
      </w:r>
    </w:p>
    <w:p>
      <w:pPr>
        <w:spacing w:after="0" w:line="13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HASSANE EL-KHOURY</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Hassane El-Khoury</w:t>
      </w:r>
    </w:p>
    <w:p>
      <w:pPr>
        <w:spacing w:after="0" w:line="2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34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920" w:type="dxa"/>
            <w:vAlign w:val="bottom"/>
          </w:tcPr>
          <w:p>
            <w:pPr>
              <w:spacing w:after="0"/>
              <w:rPr>
                <w:sz w:val="13"/>
                <w:szCs w:val="13"/>
                <w:color w:val="auto"/>
              </w:rPr>
            </w:pPr>
          </w:p>
        </w:tc>
        <w:tc>
          <w:tcPr>
            <w:tcW w:w="2720" w:type="dxa"/>
            <w:vAlign w:val="bottom"/>
            <w:gridSpan w:val="2"/>
          </w:tcPr>
          <w:p>
            <w:pPr>
              <w:jc w:val="center"/>
              <w:ind w:right="2380"/>
              <w:spacing w:after="0"/>
              <w:rPr>
                <w:sz w:val="20"/>
                <w:szCs w:val="20"/>
                <w:color w:val="auto"/>
              </w:rPr>
            </w:pPr>
            <w:r>
              <w:rPr>
                <w:rFonts w:ascii="Times New Roman" w:cs="Times New Roman" w:eastAsia="Times New Roman" w:hAnsi="Times New Roman"/>
                <w:sz w:val="14"/>
                <w:szCs w:val="14"/>
                <w:b w:val="1"/>
                <w:bCs w:val="1"/>
                <w:color w:val="auto"/>
              </w:rPr>
              <w:t>Titles</w:t>
            </w:r>
          </w:p>
        </w:tc>
        <w:tc>
          <w:tcPr>
            <w:tcW w:w="1960" w:type="dxa"/>
            <w:vAlign w:val="bottom"/>
            <w:gridSpan w:val="3"/>
          </w:tcPr>
          <w:p>
            <w:pPr>
              <w:jc w:val="center"/>
              <w:ind w:left="53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19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February 10, 2025</w:t>
            </w:r>
          </w:p>
        </w:tc>
        <w:tc>
          <w:tcPr>
            <w:tcW w:w="0" w:type="dxa"/>
            <w:vAlign w:val="bottom"/>
          </w:tcPr>
          <w:p>
            <w:pPr>
              <w:spacing w:after="0"/>
              <w:rPr>
                <w:sz w:val="1"/>
                <w:szCs w:val="1"/>
                <w:color w:val="auto"/>
              </w:rPr>
            </w:pPr>
          </w:p>
        </w:tc>
      </w:tr>
      <w:tr>
        <w:trPr>
          <w:trHeight w:val="234"/>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HASSANE EL-KHOURY</w:t>
            </w:r>
          </w:p>
        </w:tc>
        <w:tc>
          <w:tcPr>
            <w:tcW w:w="46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and Director</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64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Hassane El-Khoury</w:t>
            </w:r>
          </w:p>
        </w:tc>
        <w:tc>
          <w:tcPr>
            <w:tcW w:w="4640" w:type="dxa"/>
            <w:vAlign w:val="bottom"/>
            <w:gridSpan w:val="3"/>
            <w:vMerge w:val="continue"/>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5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THAD TRENT</w:t>
            </w:r>
          </w:p>
        </w:tc>
        <w:tc>
          <w:tcPr>
            <w:tcW w:w="46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Executive Vice President, Chief Financial Officer and</w:t>
            </w:r>
          </w:p>
        </w:tc>
        <w:tc>
          <w:tcPr>
            <w:tcW w:w="19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February 10, 2025</w:t>
            </w:r>
          </w:p>
        </w:tc>
        <w:tc>
          <w:tcPr>
            <w:tcW w:w="0" w:type="dxa"/>
            <w:vAlign w:val="bottom"/>
          </w:tcPr>
          <w:p>
            <w:pPr>
              <w:spacing w:after="0"/>
              <w:rPr>
                <w:sz w:val="1"/>
                <w:szCs w:val="1"/>
                <w:color w:val="auto"/>
              </w:rPr>
            </w:pPr>
          </w:p>
        </w:tc>
      </w:tr>
      <w:tr>
        <w:trPr>
          <w:trHeight w:val="241"/>
        </w:trPr>
        <w:tc>
          <w:tcPr>
            <w:tcW w:w="3540" w:type="dxa"/>
            <w:vAlign w:val="bottom"/>
            <w:tcBorders>
              <w:bottom w:val="single" w:sz="8" w:color="auto"/>
            </w:tcBorders>
            <w:gridSpan w:val="3"/>
            <w:vMerge w:val="continue"/>
          </w:tcPr>
          <w:p>
            <w:pPr>
              <w:spacing w:after="0"/>
              <w:rPr>
                <w:sz w:val="20"/>
                <w:szCs w:val="20"/>
                <w:color w:val="auto"/>
              </w:rPr>
            </w:pPr>
          </w:p>
        </w:tc>
        <w:tc>
          <w:tcPr>
            <w:tcW w:w="46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8"/>
              </w:rPr>
              <w:t>Treasurer</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Thad Trent</w:t>
            </w:r>
          </w:p>
        </w:tc>
        <w:tc>
          <w:tcPr>
            <w:tcW w:w="46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19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February 10, 2025</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Alan Campbell</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February 10, 2025</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Susan K. Carter</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February 10, 2025</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Thomas L. Deitrich</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February 10, 2025</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Bruce E. Kiddoo</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February 10, 2025</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Christina Lampe-Önnerud</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February 10, 2025</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Paul A. Mascarenas</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February 10, 2025</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Gregory Waters</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80" w:type="dxa"/>
            <w:vAlign w:val="bottom"/>
            <w:tcBorders>
              <w:bottom w:val="single" w:sz="8" w:color="auto"/>
            </w:tcBorders>
            <w:gridSpan w:val="2"/>
          </w:tcPr>
          <w:p>
            <w:pPr>
              <w:jc w:val="center"/>
              <w:ind w:left="139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spacing w:after="0"/>
              <w:rPr>
                <w:sz w:val="24"/>
                <w:szCs w:val="24"/>
                <w:color w:val="auto"/>
              </w:rPr>
            </w:pPr>
          </w:p>
        </w:tc>
        <w:tc>
          <w:tcPr>
            <w:tcW w:w="46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February 10, 2025</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Christine Y. Yan</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3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*By: /s/ THAD TRENT</w:t>
            </w:r>
          </w:p>
        </w:tc>
        <w:tc>
          <w:tcPr>
            <w:tcW w:w="46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Attorney-in-Fact</w:t>
            </w:r>
          </w:p>
        </w:tc>
        <w:tc>
          <w:tcPr>
            <w:tcW w:w="1960" w:type="dxa"/>
            <w:vAlign w:val="bottom"/>
            <w:gridSpan w:val="3"/>
          </w:tcPr>
          <w:p>
            <w:pPr>
              <w:jc w:val="center"/>
              <w:ind w:left="532"/>
              <w:spacing w:after="0"/>
              <w:rPr>
                <w:sz w:val="20"/>
                <w:szCs w:val="20"/>
                <w:color w:val="auto"/>
              </w:rPr>
            </w:pPr>
            <w:r>
              <w:rPr>
                <w:rFonts w:ascii="Times New Roman" w:cs="Times New Roman" w:eastAsia="Times New Roman" w:hAnsi="Times New Roman"/>
                <w:sz w:val="18"/>
                <w:szCs w:val="18"/>
                <w:color w:val="auto"/>
              </w:rPr>
              <w:t>February 10, 2025</w:t>
            </w:r>
          </w:p>
        </w:tc>
        <w:tc>
          <w:tcPr>
            <w:tcW w:w="0" w:type="dxa"/>
            <w:vAlign w:val="bottom"/>
          </w:tcPr>
          <w:p>
            <w:pPr>
              <w:spacing w:after="0"/>
              <w:rPr>
                <w:sz w:val="1"/>
                <w:szCs w:val="1"/>
                <w:color w:val="auto"/>
              </w:rPr>
            </w:pPr>
          </w:p>
        </w:tc>
      </w:tr>
      <w:tr>
        <w:trPr>
          <w:trHeight w:val="234"/>
        </w:trPr>
        <w:tc>
          <w:tcPr>
            <w:tcW w:w="354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Thad Trent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2" w:name="page53"/>
    <w:bookmarkEnd w:id="52"/>
    <w:p>
      <w:pPr>
        <w:ind w:left="30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ON Semiconductor Corporation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ON Semiconductor Corporation and its subsidiaries (the "Company") as of December 31, 2024 and 2023, and the related consolidated statements of operations and comprehensive income, of stockholders’ equity and of cash flows for each of the three years in the period ended December 31, 2024, including the related notes and financial statement schedule listed in the index appearing under Item 15(a)(2)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Inventories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described in Notes 2 and 8 to the consolidated financial statements, the Company’s inventory balance of $2,242.0 million as of December 31, 2024, is stated at the lower of standard cost (which approximates actual cost on a first-in, first-out basis) or net realizable value. Management writes down excess and obsolete inventories based upon a regular analysis of inventory on hand compared to historical and projected end-user demand.</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inventories is a critical audit matter are the significant judgment by management in developing the write down for excess and obsolete inventories. This in turn led to a high degree of auditor judgment, subjectivity and effort in performing procedures to evaluate the reasonableness of management’s analysis, including the inputs utilized and the significant assumptions related to projected end-user demand employed within the analysis.</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inventories. These procedures also included, among others (i) testing management’s process for developing the write down for excess and obsolete inventories, (ii) evaluating the appropriateness of the analysis, and (iii) evaluating the reasonableness of the significant assumptions related to projected end-user demand used by management in developing the write down for excess and obsolete inventories. Evaluating the reasonableness of the assumptions related to projected end user demand involved considering the performance of product sales and whether they were consistent with evidence obtained in other areas of the audit.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2,483.0</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financing lease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13,215.2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financing lease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2,542.6</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financing lease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5,414.6</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Semiconductor Corporation stockholders’ equity: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1,250,000,000 shares authorized, 622,655,553 and 616,281,996 shares issued,</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422,955,173 and 426,386,426 shares outstanding, respectively)</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earnings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Treasury stock, at cost; 199,700,380 and 189,895,570 shares, respectively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(3,937.4)</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ON Semiconductor Corporation stockholders’ equity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7,800.6</w:t>
            </w:r>
          </w:p>
        </w:tc>
      </w:tr>
      <w:tr>
        <w:trPr>
          <w:trHeight w:val="223"/>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13,215.2</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8,326.2</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4,249.0</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4,077.2</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0" w:type="dxa"/>
            <w:vAlign w:val="bottom"/>
          </w:tcPr>
          <w:p>
            <w:pPr>
              <w:spacing w:after="0"/>
              <w:rPr>
                <w:sz w:val="1"/>
                <w:szCs w:val="1"/>
                <w:color w:val="auto"/>
              </w:rPr>
            </w:pPr>
          </w:p>
        </w:tc>
      </w:tr>
      <w:tr>
        <w:trPr>
          <w:trHeight w:val="229"/>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0" w:type="dxa"/>
            <w:vAlign w:val="bottom"/>
          </w:tcPr>
          <w:p>
            <w:pPr>
              <w:spacing w:after="0"/>
              <w:rPr>
                <w:sz w:val="1"/>
                <w:szCs w:val="1"/>
                <w:color w:val="auto"/>
              </w:rPr>
            </w:pPr>
          </w:p>
        </w:tc>
      </w:tr>
      <w:tr>
        <w:trPr>
          <w:trHeight w:val="229"/>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asset impairments and other charges,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1,717.2</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refinancing and prepayment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on divestiture of businesses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2,362.2</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1,903.8</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ON Semiconductor Corporation</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diluted earnings per share of common stock (Note 10)</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1,904.2</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per share of common stock attributable to ON Semiconductor Corporation: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432.7</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net of tax:</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1,903.8</w:t>
            </w:r>
          </w:p>
        </w:tc>
        <w:tc>
          <w:tcPr>
            <w:tcW w:w="0" w:type="dxa"/>
            <w:vAlign w:val="bottom"/>
          </w:tcPr>
          <w:p>
            <w:pPr>
              <w:spacing w:after="0"/>
              <w:rPr>
                <w:sz w:val="1"/>
                <w:szCs w:val="1"/>
                <w:color w:val="auto"/>
              </w:rPr>
            </w:pPr>
          </w:p>
        </w:tc>
      </w:tr>
      <w:tr>
        <w:trPr>
          <w:trHeight w:val="223"/>
        </w:trPr>
        <w:tc>
          <w:tcPr>
            <w:tcW w:w="6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Effects of cash flow hedges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1,921.2</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ON Semiconductor Corporation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158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1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center"/>
              <w:ind w:right="160"/>
              <w:spacing w:after="0" w:line="102"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8"/>
                <w:szCs w:val="8"/>
                <w:color w:val="auto"/>
              </w:rPr>
            </w:pPr>
          </w:p>
        </w:tc>
        <w:tc>
          <w:tcPr>
            <w:tcW w:w="1040" w:type="dxa"/>
            <w:vAlign w:val="bottom"/>
            <w:gridSpan w:val="2"/>
          </w:tcPr>
          <w:p>
            <w:pPr>
              <w:jc w:val="center"/>
              <w:ind w:right="180"/>
              <w:spacing w:after="0" w:line="102" w:lineRule="exact"/>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tcPr>
          <w:p>
            <w:pPr>
              <w:jc w:val="center"/>
              <w:ind w:right="180"/>
              <w:spacing w:after="0" w:line="102" w:lineRule="exact"/>
              <w:rPr>
                <w:sz w:val="20"/>
                <w:szCs w:val="20"/>
                <w:color w:val="auto"/>
              </w:rPr>
            </w:pPr>
            <w:r>
              <w:rPr>
                <w:rFonts w:ascii="Times New Roman" w:cs="Times New Roman" w:eastAsia="Times New Roman" w:hAnsi="Times New Roman"/>
                <w:sz w:val="10"/>
                <w:szCs w:val="10"/>
                <w:b w:val="1"/>
                <w:bCs w:val="1"/>
                <w:color w:val="auto"/>
              </w:rPr>
              <w:t>Non-</w:t>
            </w: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At Par</w:t>
            </w: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80" w:type="dxa"/>
            <w:vAlign w:val="bottom"/>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6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At Cost</w:t>
            </w: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00" w:type="dxa"/>
            <w:vAlign w:val="bottom"/>
          </w:tcPr>
          <w:p>
            <w:pPr>
              <w:spacing w:after="0"/>
              <w:rPr>
                <w:sz w:val="14"/>
                <w:szCs w:val="14"/>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9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2021</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603,044,079</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4,633.3</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2,435.1</w:t>
            </w:r>
          </w:p>
        </w:tc>
        <w:tc>
          <w:tcPr>
            <w:tcW w:w="8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(170,571,261)</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(2,448.4)</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4"/>
                <w:szCs w:val="1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4,604.4</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Impact of the adoption of ASU 2020-06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Shares issued pursuant to the ESPP</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493,484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RSUs released and stock grant awards issued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3,739,726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Partial settlement - 1.625% Notes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611,431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Partial settlement of warrants - 1.625% Notes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478,993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Partial settlement of bond hedges - 1.625% Notes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(617,554)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Payment of tax withholding for RSUs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(1,254,030)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(3,988,453)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(259.8)</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 to non-controlling shareholder</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Comprehensive income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1,902.2</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1,921.2</w:t>
            </w:r>
          </w:p>
        </w:tc>
        <w:tc>
          <w:tcPr>
            <w:tcW w:w="0" w:type="dxa"/>
            <w:vAlign w:val="bottom"/>
          </w:tcPr>
          <w:p>
            <w:pPr>
              <w:spacing w:after="0"/>
              <w:rPr>
                <w:sz w:val="1"/>
                <w:szCs w:val="1"/>
                <w:color w:val="auto"/>
              </w:rPr>
            </w:pPr>
          </w:p>
        </w:tc>
      </w:tr>
      <w:tr>
        <w:trPr>
          <w:trHeight w:val="163"/>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608,367,713</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4,670.9</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4,364.4</w:t>
            </w:r>
          </w:p>
        </w:tc>
        <w:tc>
          <w:tcPr>
            <w:tcW w:w="8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(176,431,298)</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(2,829.7)</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6,207.0</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Shares issued pursuant to the ESPP</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387,770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RSUs released and stock grant awards issued</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2,433,671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Warrants and bond hedges, net - 0% Notes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Tax impact of warrants and bond hedges, net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Partial settlement - 0% Notes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Partial settlement of bond hedges - 0% Notes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Partial settlement of Warrants - 0% Notes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Partial settlement - 1.625% Notes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5,091,710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Partial settlement of bond hedges - 1.625% Notes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(5,091,752)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Partial settlement of warrants - 1.625% Notes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Payment of tax withholding for RSUs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(805,107)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(7,566,628)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(568.1)</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 to non-controlling shareholder</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Comprehensive income (loss)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2,183.7</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2,163.6</w:t>
            </w:r>
          </w:p>
        </w:tc>
        <w:tc>
          <w:tcPr>
            <w:tcW w:w="0" w:type="dxa"/>
            <w:vAlign w:val="bottom"/>
          </w:tcPr>
          <w:p>
            <w:pPr>
              <w:spacing w:after="0"/>
              <w:rPr>
                <w:sz w:val="1"/>
                <w:szCs w:val="1"/>
                <w:color w:val="auto"/>
              </w:rPr>
            </w:pPr>
          </w:p>
        </w:tc>
      </w:tr>
      <w:tr>
        <w:trPr>
          <w:trHeight w:val="163"/>
        </w:trPr>
        <w:tc>
          <w:tcPr>
            <w:tcW w:w="3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616,281,996</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5,210.9</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6,548.1</w:t>
            </w:r>
          </w:p>
        </w:tc>
        <w:tc>
          <w:tcPr>
            <w:tcW w:w="8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(189,895,570)</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(3,937.4)</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7,800.6</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Shares issued pursuant to the ESPP</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435,407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RSUs released and stock grant awards issued</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1,909,867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Partial settlement - 0% Notes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Settlement of Warrants - 0% Notes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Settlement of warrants - 1.625% Notes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4,028,216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 of tax withholding for RSUs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(676,539)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(9,128,271)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(652.3)</w:t>
            </w:r>
          </w:p>
        </w:tc>
        <w:tc>
          <w:tcPr>
            <w:tcW w:w="0" w:type="dxa"/>
            <w:vAlign w:val="bottom"/>
          </w:tcPr>
          <w:p>
            <w:pPr>
              <w:spacing w:after="0"/>
              <w:rPr>
                <w:sz w:val="1"/>
                <w:szCs w:val="1"/>
                <w:color w:val="auto"/>
              </w:rPr>
            </w:pPr>
          </w:p>
        </w:tc>
      </w:tr>
      <w:tr>
        <w:trPr>
          <w:trHeight w:val="181"/>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Dividend to non-controlling shareholder</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70"/>
        </w:trPr>
        <w:tc>
          <w:tcPr>
            <w:tcW w:w="3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Comprehensive income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1,572.8</w:t>
            </w:r>
          </w:p>
        </w:tc>
        <w:tc>
          <w:tcPr>
            <w:tcW w:w="80" w:type="dxa"/>
            <w:vAlign w:val="bottom"/>
          </w:tcPr>
          <w:p>
            <w:pPr>
              <w:spacing w:after="0"/>
              <w:rPr>
                <w:sz w:val="14"/>
                <w:szCs w:val="14"/>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1,557.4</w:t>
            </w:r>
          </w:p>
        </w:tc>
        <w:tc>
          <w:tcPr>
            <w:tcW w:w="0" w:type="dxa"/>
            <w:vAlign w:val="bottom"/>
          </w:tcPr>
          <w:p>
            <w:pPr>
              <w:spacing w:after="0"/>
              <w:rPr>
                <w:sz w:val="1"/>
                <w:szCs w:val="1"/>
                <w:color w:val="auto"/>
              </w:rPr>
            </w:pPr>
          </w:p>
        </w:tc>
      </w:tr>
      <w:tr>
        <w:trPr>
          <w:trHeight w:val="200"/>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622,655,553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5,372.2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(199,700,380)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(4,640.5)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8,814.5</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4"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09"/>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1,903.8</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551.8</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loss on sale or disposal of fixed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loss on divestiture of businesses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debt refinancing and prepayment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asset impairment charges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Goodwill and intangible asset impairment charges</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deferred tax balances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 (exclusive of acquisitions and divestitures):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Receivables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7"/>
        </w:trPr>
        <w:tc>
          <w:tcPr>
            <w:tcW w:w="69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2,633.1</w:t>
            </w:r>
          </w:p>
        </w:tc>
      </w:tr>
      <w:tr>
        <w:trPr>
          <w:trHeight w:val="19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acquisition of property, plant and equipment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(1,036.0)</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related to acquisition of business, net of cash acquired</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Divestiture of business, net of cash transferred</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short-term investments and available-for-sale securities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maturity of short-term investments and available-for-sale securities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940" w:type="dxa"/>
            <w:vAlign w:val="bottom"/>
            <w:tcBorders>
              <w:top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(705.4)</w:t>
            </w:r>
          </w:p>
        </w:tc>
      </w:tr>
      <w:tr>
        <w:trPr>
          <w:trHeight w:val="19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for the issuance of common stock under the ESPP</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 of tax withholding for RSUs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Issuance and borrowings under debt agreements</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 of borrowings under debt agreements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 on principal portion of finance lease obligations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for purchase of bond hedges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warrants</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07"/>
        </w:trPr>
        <w:tc>
          <w:tcPr>
            <w:tcW w:w="69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w:t>
            </w:r>
          </w:p>
        </w:tc>
      </w:tr>
      <w:tr>
        <w:trPr>
          <w:trHeight w:val="21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1,555.3</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 (Note 18)</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1,377.7</w:t>
            </w:r>
          </w:p>
        </w:tc>
      </w:tr>
      <w:tr>
        <w:trPr>
          <w:trHeight w:val="20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 (Note 18)</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2,693.4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2,485.0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2,933.0</w:t>
            </w:r>
          </w:p>
        </w:tc>
      </w:tr>
      <w:tr>
        <w:trPr>
          <w:trHeight w:val="23"/>
        </w:trPr>
        <w:tc>
          <w:tcPr>
            <w:tcW w:w="6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2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Semiconductor Corporation, with its wholly and majority-owned subsidiaries ("onsemi" or the "Company"), operates under the onsemi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and prepares its consolidated financial statements in accordance with accounting principles generally accepted in the United States of America ("GAAP"). Certain reclassifications within the statements of cash flows have been made to prior period amounts to conform to current period presentation. The Company is organized into three operating and reportable segments: the Power Solutions Group ("PSG"), the Analog and Mixed-Signal Group ("AMG") and the Intelligent Sensing Group ("ISG"). During the first quarter of 2024, onsemi reorganized the existing divisions within certain of its operating and reportable segments and renamed the Advanced Solutions Group ("ASG") reportable segment to AMG. See Note 3: ''Segments and Revenue'' for additional information regarding the segment reorganization. Unless otherwise noted, all dollar amounts are in millions, except per share amounts.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assets, liabilities, revenue and expenses of all wholly-owned and majority-owned subsidiaries over which the Company exercises control and, when applicable, entities in which the Company has a controlling financial interest or is the primary beneficiary. Investments in affiliates where the Company does not exert a controlling financial interest are not consolidated. All intercompany balances and transactions have been eliminated.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 of assets and liabilities at the date of the financial statements and the reported amount of revenue and expenses during the reporting period. Management evaluates these estimates and judgments on an ongoing basis and bases its estimates on experience, current and expected future conditions, third-party evaluations and various other assumptions that management believes are reasonable under the circumstances. Significant estimates have been used by management in conjunction with the following: (i) calculation of future payouts for customer incentives and amounts subject to allowances and returns; (ii) valuation and obsolescence relating to inventories; (iii) measurement of valuation allowances against deferred tax assets, and evaluations of uncertain tax positions; (iv) assumptions used in business combinations; and (v) testing for impairment of long-lived assets and goodwill. Actual results may differ from the estimates and assumptions used in the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demand deposits and highly liquid investments with original maturities at the time of purchase of three months or less. The Company maintains amounts on deposit at various financial institutions, which may at times exceed federally insured limits. However, management periodically evaluates the credit-worthiness of those institutions and has not experienced any losses on such deposits.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Short-term investments are comprised of time deposits with original maturities of greater than three months at the time of purchase. Interest on these investments are included within Interest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standard cost (which approximates actual cost on a first-in, first-out basis) or net realizable value. General market conditions, as well as the Company's design activities, can cause certain of its products to become obsolete. The Company writes down excess and obsolete inventories based upon a regular analysis of inventory on hand compared to historical and projected end-user demand. The determination of projected end-user demand requires the use of estimates and assumptions related to projected unit sales for each product. These write downs can influence results from operations. For example, when demand for a given part falls, all or a portion of the related inventory that is considered to be in excess of anticipated demand is written down, impacting cost of revenue and gross profit. The majority of product inventory that has been previously written down is ultimately discarded. Although the Company does sell some products that have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previously been written down, such sales have historically been consistently insignificant and the related impact on the Company's gross profit has also been insignificant.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recorded at cost and are depreciated over estimated useful lives of 30 years for buildings and 3-20 years for computers, machinery and equipment using straight-line methods. Expenditures for maintenance and repairs are charged to operations in the period in which the expenses are incurred. When assets are retired or otherwise disposed of, the related costs and accumulated depreciation are removed from the balance sheet and any resulting gain or loss is reflected in operations in the period realized.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the recoverability of the carrying amount of its property, plant and equipment whenever events or changes in circumstances indicate that the carrying value of an asset group may not be fully recoverable. A potential impairment charge is evaluated when the undiscounted expected cash flows derived from an asset group are less than its carrying amount. Impairment losses, if applicable, are measured as the amount by which the carrying value of an asset group exceeds its fair value. Judgment is used when applying these impairment rules to determine the timing of the impairment test, the undiscounted cash flows used to assess impairments and the fair value of the asset group.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Purchase Price Allocation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allocation of the purchase price of business combinations is based on management estimates and assumptions, which utilize established valuation techniques appropriate for the technology industry. These techniques include the income approach, cost approach or market approach, depending upon which approach is the most appropriate based on the nature and reliability of available data. Management records the acquired assets and liabilities at fair value. If the income approach is used, the fair value determination is predicated upon the value of the future cash flows that an asset is expected to generate over its economic life. The cost approach takes into account the cost to replace (or reproduce) the asset and the effects on the asset's value of physical, functional and/or economic obsolescence that has occurred with respect to the asset. The market approach is used to estimate value from an analysis of actual market transactions or offerings for economically comparable assets available as of the valuation date. Determining the fair value of acquired technology assets is judgmental in nature and requires the use of significant estimates and assumptions, including the discount rate, revenue growth rates, projected gross margins, and estimated research and development and other operating expenses.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estimated fair value of the net assets acquired in a business combination. The Company evaluates its goodwill for impairment annually during the fourth quarter and whenever events or changes in circumstances indicate the carrying value of a reporting unit may not be recoverable. The Company’s divisions are one level below the operating segments, constituting individual businesses, at which level the Company’s segment management conducts regular reviews of the operating results. The Company's divisions, either individually or in a combination, constitute reporting units for purposes of allocating and testing goodwill.</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impairment evaluation consists of a qualitative assessment. If this assessment indicates that it is more likely than not the estimated fair value of a reporting unit exceeds its carrying value, goodwill is not considered impaired. Otherwise, a quantitative impairment test is performed by comparing the fair value of a reporting unit to its carrying value, including goodwill. The Company can bypass the qualitative assessment for any period and proceed directly to the quantitative impairment test. If the carrying value of the net assets associated with the reporting unit exceeds the fair value of the reporting unit, goodwill is considered impaired and will be determined as the amount by which the reporting unit's carrying value exceeds its fair value, not to exceed the carrying amount of goodwill.</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Company's reporting units is subjective in nature and involves the use of significant estimates and assumptions, including projected net cash flows, discount rates and long-term growth rates. The Company determines the fair value of its reporting units based on an income approach derived from the present value of estimated future cash flows. The assumptions about estimated cash flows include factors such as future revenue, gross profit, operating expenses and industry trends. The Company considers historical rates and current market conditions when determining the discount and long-term growth rates to use in its analysis. The Company considers other valuation methods, such as the cost approach or market approach, if it is determined that these methods provide a more representative approximation of fair value.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acquisitions have resulted in intangible assets consisting of values assigned to customer relationships, patents, developed technology, licenses, and trademarks, which are considered long-lived assets and are stated at cost less accumulated amortization. These intangible assets are amortized over their estimated useful lives and are reviewed for impairment when events or changes in circumstances indicate that the carrying amount of an asset group containing these assets may not be recoverable.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its inception. Operating and financing lease arrangements are comprised primarily of real estate and equipment agreements. ROU assets are included in other assets and the corresponding lease liabilities, depending on their maturity, are included in accrued expenses and other current liabilities or other long-term liabilities.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lease liabilities represent the obligation to make lease payments arising from the lease. ROU assets and lease liabilities are recognized at the lease commencement date based on the estimated present value of lease payments over the lease term. The lease term includes options to extend the lease when it is reasonably certain that the option will be exercised. Leases with a term of 12 months or less are not recorded on the Consolidated Balance Sheet.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its estimated incremental borrowing rate in determining the present value of lease payments considering the term of the lease, which is derived from information available at the lease commencement date, giving consideration to publicly available data for instruments with similar characteristics. The Company accounts for the lease and non-lease components as a single lease component.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issuance costs for the Company's revolving credit facilities are capitalized and amortized over the term of the facility on a straight-line basis.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is included in interest expense while the unamortized balance is included in other assets.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issuance costs for the Company's convertible notes, senior notes and term debt are recorded as a direct deduction from the carrying amounts of such debt, consistent with debt discounts, and are amortized over their term using the effective interest method. Amortization is included in interest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Incentives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receives government incentives for various reasons including capital expenditures, operating expenses, or to develop specific technologies, which may require the Company to meet or maintain certain metrics, and may be subject to reduction, termination, or recapture if such conditions are not met or maintained. Incentives related to the acquisition or construction of property, plant and equipment are recognized as a reduction in the cost-basis of the underlying assets with a reduction to depreciation expense based on the useful lives of the related assets. Incentives related to specific operating activities are offset against the related expense in the period the expense is incurred. Government incentives received prior to being earned are recognized in current or non-current liabilities or restricted cash, whereas incentives earned prior to being received are recognized in current or non-current receivables. Cash incentives related to operating expenses along with incentives that can offset taxes payable are included in operating activities, while cash received related to the acquisition of property, plant, and equipment are included in investing activities in the Consolidated Statements of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involved in a variety of legal and IP matters and environmental, financing and indemnification contingencies that arise in the ordinary course of business. Based on the information available, management evaluates the relevant range and likelihood of potential outcomes and records the appropriate liability when the amount is deemed probable and reasonably estimable.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Treasury stock is recorded at cost, inclusive of fees, commissions and other expenses, when outstanding common shares are repurchased, bond hedges issued in connection with the convertible notes are settled and when outstanding shares are withheld to satisfy tax withholding obligations in connection with certain shares pursuant to RSUs under the Company's share-based compensation plans. Re-issuance of shares held in treasury stock is accounted for on a first-in, first-out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generates revenue from sales of its semiconductor products to direct customers and distributors. The Company also generates revenue, to a much lesser extent, from product development agreements and manufacturing services provided to customers. The Company applies a five-step approach in determining the amount and timing of revenue to be recognized: (i) identifying the contract with a customer; (ii) identifying the performance obligations in the contract; (iii) determining the transaction price; (iv) allocating the transaction price to the performance obligations in the contract; and (v) recognizing revenue when the performance obligation is satisfied. The Company allocates the transaction price to each distinct product based on its relative stand-alone selling price. In determining the transaction price, the Company evaluates whether the price is subject to refund or adjustment to determine the net consideration to which the Company expects to be entitled.</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is recognized when the Company satisfies a performance obligation in an amount reflecting the consideration to which it expects to be entitled. For sales agreements, the Company has identified the promise to transfer products, each of which is distinct, as the performance obligation. The Company recognizes revenue from sales agreements upon transferring control of a product to the customer, which typically occurs when products are shipped or delivered, depending on the delivery terms, or when products that are consigned at customer locations are consumed. Revenue is also recognized over time for products with no alternative use and an enforceable right to payment as they are manufactured, which represents a contract asset. The Company can receive cash payments from customers in advance of the performance obligation being satisfied, which represents a contract liability. Contract liabilities are recognized as revenue when the performance obligations are satisfied.</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Frequently, the Company receives orders with multiple delivery dates that may extend across reporting periods. Each delivery constitutes an individual performance obligation, which consists of transferring control of the products to the customers based on their stand-alone selling price. The Company invoices the customer for each delivery upon shipment and recognizes revenue in accordance with delivery terms. As scheduled delivery dates are within one year, revenue allocated to future shipments of partially completed contracts is not disclosed.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product development agreements, the Company has identified the completion of a service defined in the agreement as the performance obligation. The Company recognizes revenue from product development agreements over time based on the cost-to-cost method. The Company recognizes revenue from manufacturing services when it satisfies the performance obligation by transferring the promised goods or services to the customer. Depending on the terms of the applicable contractual agreement with the customer, revenue is recognized at the point in time when the customer obtains control of the promised goods or service, or over time when the created asset has no alternate use to the Company and there is an enforceable right to payment for the performance to date.</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agreements with customers are renewable periodically and contain terms and conditions with respect to payment, delivery, warranty and supply. In the absence of a sales agreement, the Company’s standard terms and conditions apply. Payment terms for direct customers generally require payment within 30 days but can extend up to 90 days. The Company considers the customer purchase orders, governed by sales agreements or the Company’s standard terms and conditions, to be the contract with the customer. The Company evaluates certain factors including the customer’s ability to pay (or credit risk). The Company’s direct customers do not have the right to return products, other than pursuant to the provisions of the Company’s standard warranty. Sales to distributors, however, are typically made pursuant to agreements that provide return rights and stock rotation provisions permitting limited levels of product returns. Sales to certain distributors, primarily those with ship and credit rights, can also be subject to price adjustment on certain products. Although payment terms vary, most distributor agreements require payment within 30 days. In addition, the Company offers cash discounts to certain customers for payments received within an agreed upon time, generally ten days after shipment, which is recorded as a reduction to revenue.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returns and allowances, which include ship and credit reserves for distributors, are estimated based on historical claims data and expected future claims. Provisions for discounts and rebates to customers, estimated returns and allowances, ship and credit claims and other adjustments are provided for in the same period the related revenue is recognized, and are netted against revenue. The Company records freight and handling costs associated with outbound freight after control over a product has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transferred to a customer as a fulfillment cost and includes it in cost of revenue. Taxes assessed by government authorities on revenue-producing transactions, including value-added and excise taxes, are presented on a net basis (excluded from revenue). The Company generally warrants that products sold to its customers will, at the time of shipment, be free from defects in workmanship and materials and conform to specifications. The Company’s standard warranty extends for a period of two years from the date of delivery, except in the case of image sensor products, which are warrantied for one year from the date of delivery. At the time revenue is recognized, the Company establishes an accrual for estimated warranty expenses associated with its sales and records them as a component of the cost of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management cannot conclude that it is more likely than not that such deferred tax assets will be realized.</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amount of the valuation allowance, estimated future taxable income, feasible tax planning strategies, future reversals of existing temporary differences and taxable income in prior carryback years, if a carryback is permitted, are considered. If the Company determines it is more likely than not that all or a portion of the remaining deferred tax assets will not be realized, the valuation allowance will be increased with a charge to income tax expense. Conversely, if the Company determines it is more likely than not to be able to utilize all or a portion of the deferred tax assets for which a valuation allowance has been provided, the related portion of the valuation allowance will be recorded as a reduction to income tax expense.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and measures benefits for uncertain tax positions using a two-step approach. The first step is to evaluate the tax position taken or expected to be taken in a tax return by determining if the weight of available evidence indicates that is it more likely than not that the tax positions will be sustained upon audit, including resolution of any related appeals or litigation processes. For tax positions that are more likely than not to be sustained upon audit, the second step is to measure the tax benefit as the largest amount that is more than 50% likely to be realized upon settlement. No tax benefit is recognized for tax positions that are not more likely than not to be sustained. The Company's practice is to recognize interest and/or penalties related to income tax matters in income tax expense. Significant judgment is required to evaluate uncertain tax positions. Evaluations are based upon a number of factors, including changes in facts or circumstances, changes in tax law, correspondence with tax authorities during the course of tax audits and effective settlement of audit issues. Changes in the recognition or measurement of uncertain tax positions could result in significant increases or decreases in income tax expense in the period in which the change is made, which could have a significant impact on the Company's effective tax 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Company's foreign subsidiaries conduct business primarily in U.S. dollars and, as a result, utilize the U.S. dollar as their functional currency. For the remeasurement of financial statements of these subsidiaries, assets and liabilities in foreign currencies that are receivable or payable in cash are remeasured at current exchange rates, while inventories and other non-monetary assets in foreign currencies are remeasured at historical rates. Gains and losses resulting from the remeasurement of such financial statements are included in the operating results, as are gains and losses incurred on foreign currency transactions.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Company's Japanese subsidiaries utilize Japanese Yen as their functional currency. The assets and liabilities of these subsidiaries are translated at current exchange rates, while revenue and expenses are translated at the average rates in effect for the period. The related translation gains and losses are included in other comprehensive income or loss within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defined benefit pension plans covering certain of its foreign employees. Net periodic pension costs and pension obligations are determined based on actuarial assumptions, including discount rates for plan obligations, assumed rates of return on pension plan assets and assumed rates of compensation increases for employees participating in plans. These assumptions are based upon management's judgment and consultation with actuaries, considering all known trends and uncertainties. The service cost component of the net periodic pension cost is allocated between the cost of revenue, research and development, selling and marketing and general and administrative line items, while the other components are included in other expense in the Consolidated Statements of Operations and Comprehensive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of its financial and non-financial assets at fair value by using the fair value hierarchy that prioritizes certain inputs into individual fair value measurement approaches. The fair value hierarchy is based on three levels of inputs, of which the first two are considered observable and the third, unobservable. The Company has elected not to carry any of its debt instruments at fair value.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Segments and Revenue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was organized into three operating and reportable segments consisting of PSG, AMG and ISG. These segments represent management's view of the business for which separate financial information is available and evaluated regularly by the Chief Operating Decision Maker ("CODM"), which is the Company’s Chief Executive Officer. The CODM uses segment gross profit for evaluating product pricing, factory utilization, allocation of capital and the assessment of segment profitability. The operating costs of manufacturing facilities which service all business units are reflected in each segment's cost of revenue on the basis of product costs. Because operating segments are generally defined by the products they design and sell, they do not sell to each other. The Company does not allocate income taxes or interest expense to its operating segments as the operating segments are principally evaluated on gross profit. Additionally, restructuring, asset impairments and other charges, net and certain other operating expenses, which include corporate research and development costs and miscellaneous nonrecurring expenses, are not allocated to segments.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PSG formerly included the divisions of Advanced Power Division and Integrated Circuits, Protection and Signal Division ("IPS"). During the first quarter of 2024, management reorganized these divisions to the divisions of Automotive Power Division, Industrial Power Division and Multi-Market Power Division (“MPD”). Further, IPS was split, with portions remaining in MPD and portions moving to the new Integrated Circuits Division within AMG. Management performed a goodwill impairment analysis on the divisions (which were the reporting units) prior to and after the reorganization and did not identify an impairment.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gross profit for the Company’s operating and reportable segments were as follows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PSG </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AMG </w:t>
            </w:r>
            <w:r>
              <w:rPr>
                <w:rFonts w:ascii="Times New Roman" w:cs="Times New Roman" w:eastAsia="Times New Roman" w:hAnsi="Times New Roman"/>
                <w:sz w:val="21"/>
                <w:szCs w:val="21"/>
                <w:b w:val="1"/>
                <w:bCs w:val="1"/>
                <w:color w:val="auto"/>
                <w:vertAlign w:val="superscript"/>
              </w:rPr>
              <w:t>(1)</w:t>
            </w:r>
          </w:p>
        </w:tc>
        <w:tc>
          <w:tcPr>
            <w:tcW w:w="280" w:type="dxa"/>
            <w:vAlign w:val="bottom"/>
          </w:tcPr>
          <w:p>
            <w:pPr>
              <w:spacing w:after="0"/>
              <w:rPr>
                <w:sz w:val="20"/>
                <w:szCs w:val="20"/>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7,082.3</w:t>
            </w:r>
          </w:p>
        </w:tc>
      </w:tr>
      <w:tr>
        <w:trPr>
          <w:trHeight w:val="230"/>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3,866.2</w:t>
            </w:r>
          </w:p>
        </w:tc>
      </w:tr>
      <w:tr>
        <w:trPr>
          <w:trHeight w:val="196"/>
        </w:trPr>
        <w:tc>
          <w:tcPr>
            <w:tcW w:w="61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Segment gross profit</w:t>
            </w: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1,384.4</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1,306.3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525.4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3,216.1</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6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Year ended December 31, 2023:</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8,253.0</w:t>
            </w:r>
          </w:p>
        </w:tc>
      </w:tr>
      <w:tr>
        <w:trPr>
          <w:trHeight w:val="229"/>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4,369.5</w:t>
            </w:r>
          </w:p>
        </w:tc>
      </w:tr>
      <w:tr>
        <w:trPr>
          <w:trHeight w:val="196"/>
        </w:trPr>
        <w:tc>
          <w:tcPr>
            <w:tcW w:w="61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Segment gross profit</w:t>
            </w: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1,821.9</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1,421.3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640.3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3,883.5</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6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Year ended December 31, 2022:</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8,326.2</w:t>
            </w:r>
          </w:p>
        </w:tc>
      </w:tr>
      <w:tr>
        <w:trPr>
          <w:trHeight w:val="230"/>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4,249.0</w:t>
            </w:r>
          </w:p>
        </w:tc>
      </w:tr>
      <w:tr>
        <w:trPr>
          <w:trHeight w:val="22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gross profit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4,077.2</w:t>
            </w: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500" w:hanging="492"/>
        <w:spacing w:after="0" w:line="229" w:lineRule="auto"/>
        <w:tabs>
          <w:tab w:leader="none" w:pos="48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first quarter of 2024, the Company reorganized certain reporting units and its segment reporting structure. As a result of the reorganization of divisions within PSG and AMG, the prior-period amounts have been reclassified to conform to current-period presentation.</w:t>
      </w: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one customer, a distributor, whose revenue accounted for approximately 10% and 12% of the total revenue for the years ended December 31, 2024 and 2022, respectively. No customer exceeded 10% of the total revenue for the year ended December 31, 2023. One customer, a distributor, accounted for approximately 13% of the Company's accounts receivable balance as of December 31, 2024, and no single customer had an accounts receivable concentration of 10% or greater as of December 31, 2023.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the Company's operating and reportable segments disaggregated into geographic locations based on sales billed from the respective country and sales channels was as follows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PSG</w:t>
            </w:r>
          </w:p>
        </w:tc>
        <w:tc>
          <w:tcPr>
            <w:tcW w:w="120" w:type="dxa"/>
            <w:vAlign w:val="bottom"/>
          </w:tcPr>
          <w:p>
            <w:pPr>
              <w:spacing w:after="0"/>
              <w:rPr>
                <w:sz w:val="18"/>
                <w:szCs w:val="18"/>
                <w:color w:val="auto"/>
              </w:rPr>
            </w:pPr>
          </w:p>
        </w:tc>
        <w:tc>
          <w:tcPr>
            <w:tcW w:w="116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AMG</w:t>
            </w:r>
          </w:p>
        </w:tc>
        <w:tc>
          <w:tcPr>
            <w:tcW w:w="280" w:type="dxa"/>
            <w:vAlign w:val="bottom"/>
          </w:tcPr>
          <w:p>
            <w:pPr>
              <w:spacing w:after="0"/>
              <w:rPr>
                <w:sz w:val="18"/>
                <w:szCs w:val="18"/>
                <w:color w:val="auto"/>
              </w:rPr>
            </w:pP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Singapore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1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Distributors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Customers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71"/>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4"/>
          </w:tcPr>
          <w:p>
            <w:pPr>
              <w:jc w:val="center"/>
              <w:ind w:right="360"/>
              <w:spacing w:after="0" w:line="213" w:lineRule="exact"/>
              <w:rPr>
                <w:sz w:val="20"/>
                <w:szCs w:val="20"/>
                <w:color w:val="auto"/>
              </w:rPr>
            </w:pPr>
            <w:r>
              <w:rPr>
                <w:rFonts w:ascii="Times New Roman" w:cs="Times New Roman" w:eastAsia="Times New Roman" w:hAnsi="Times New Roman"/>
                <w:sz w:val="16"/>
                <w:szCs w:val="16"/>
                <w:b w:val="1"/>
                <w:bCs w:val="1"/>
                <w:color w:val="auto"/>
                <w:w w:val="93"/>
              </w:rPr>
              <w:t xml:space="preserve">PSG </w:t>
            </w:r>
            <w:r>
              <w:rPr>
                <w:rFonts w:ascii="Times New Roman" w:cs="Times New Roman" w:eastAsia="Times New Roman" w:hAnsi="Times New Roman"/>
                <w:sz w:val="21"/>
                <w:szCs w:val="21"/>
                <w:b w:val="1"/>
                <w:bCs w:val="1"/>
                <w:color w:val="auto"/>
                <w:w w:val="93"/>
                <w:vertAlign w:val="superscript"/>
              </w:rPr>
              <w:t>(1)</w:t>
            </w:r>
          </w:p>
        </w:tc>
        <w:tc>
          <w:tcPr>
            <w:tcW w:w="120" w:type="dxa"/>
            <w:vAlign w:val="bottom"/>
          </w:tcPr>
          <w:p>
            <w:pPr>
              <w:spacing w:after="0"/>
              <w:rPr>
                <w:sz w:val="18"/>
                <w:szCs w:val="18"/>
                <w:color w:val="auto"/>
              </w:rPr>
            </w:pPr>
          </w:p>
        </w:tc>
        <w:tc>
          <w:tcPr>
            <w:tcW w:w="1160" w:type="dxa"/>
            <w:vAlign w:val="bottom"/>
            <w:gridSpan w:val="4"/>
          </w:tcPr>
          <w:p>
            <w:pPr>
              <w:jc w:val="center"/>
              <w:ind w:right="240"/>
              <w:spacing w:after="0" w:line="213" w:lineRule="exact"/>
              <w:rPr>
                <w:sz w:val="20"/>
                <w:szCs w:val="20"/>
                <w:color w:val="auto"/>
              </w:rPr>
            </w:pPr>
            <w:r>
              <w:rPr>
                <w:rFonts w:ascii="Times New Roman" w:cs="Times New Roman" w:eastAsia="Times New Roman" w:hAnsi="Times New Roman"/>
                <w:sz w:val="16"/>
                <w:szCs w:val="16"/>
                <w:b w:val="1"/>
                <w:bCs w:val="1"/>
                <w:color w:val="auto"/>
                <w:w w:val="94"/>
              </w:rPr>
              <w:t xml:space="preserve">AMG </w:t>
            </w:r>
            <w:r>
              <w:rPr>
                <w:rFonts w:ascii="Times New Roman" w:cs="Times New Roman" w:eastAsia="Times New Roman" w:hAnsi="Times New Roman"/>
                <w:sz w:val="21"/>
                <w:szCs w:val="21"/>
                <w:b w:val="1"/>
                <w:bCs w:val="1"/>
                <w:color w:val="auto"/>
                <w:w w:val="94"/>
                <w:vertAlign w:val="superscript"/>
              </w:rPr>
              <w:t>(1)</w:t>
            </w:r>
          </w:p>
        </w:tc>
        <w:tc>
          <w:tcPr>
            <w:tcW w:w="280" w:type="dxa"/>
            <w:vAlign w:val="bottom"/>
          </w:tcPr>
          <w:p>
            <w:pPr>
              <w:spacing w:after="0"/>
              <w:rPr>
                <w:sz w:val="18"/>
                <w:szCs w:val="18"/>
                <w:color w:val="auto"/>
              </w:rPr>
            </w:pPr>
          </w:p>
        </w:tc>
        <w:tc>
          <w:tcPr>
            <w:tcW w:w="102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18"/>
                <w:szCs w:val="18"/>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61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Distributors</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Customers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3"/>
        </w:trPr>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40"/>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PSG</w:t>
            </w:r>
            <w:r>
              <w:rPr>
                <w:rFonts w:ascii="Times New Roman" w:cs="Times New Roman" w:eastAsia="Times New Roman" w:hAnsi="Times New Roman"/>
                <w:sz w:val="9"/>
                <w:szCs w:val="9"/>
                <w:b w:val="1"/>
                <w:bCs w:val="1"/>
                <w:color w:val="auto"/>
              </w:rPr>
              <w:t xml:space="preserve"> (1)</w:t>
            </w:r>
          </w:p>
        </w:tc>
        <w:tc>
          <w:tcPr>
            <w:tcW w:w="160" w:type="dxa"/>
            <w:vAlign w:val="bottom"/>
          </w:tcPr>
          <w:p>
            <w:pPr>
              <w:spacing w:after="0"/>
              <w:rPr>
                <w:sz w:val="18"/>
                <w:szCs w:val="18"/>
                <w:color w:val="auto"/>
              </w:rPr>
            </w:pPr>
          </w:p>
        </w:tc>
        <w:tc>
          <w:tcPr>
            <w:tcW w:w="1140" w:type="dxa"/>
            <w:vAlign w:val="bottom"/>
            <w:gridSpan w:val="2"/>
          </w:tcPr>
          <w:p>
            <w:pPr>
              <w:ind w:left="160"/>
              <w:spacing w:after="0" w:line="212" w:lineRule="exact"/>
              <w:rPr>
                <w:sz w:val="20"/>
                <w:szCs w:val="20"/>
                <w:color w:val="auto"/>
              </w:rPr>
            </w:pPr>
            <w:r>
              <w:rPr>
                <w:rFonts w:ascii="Times New Roman" w:cs="Times New Roman" w:eastAsia="Times New Roman" w:hAnsi="Times New Roman"/>
                <w:sz w:val="24"/>
                <w:szCs w:val="24"/>
                <w:b w:val="1"/>
                <w:bCs w:val="1"/>
                <w:color w:val="auto"/>
                <w:vertAlign w:val="subscript"/>
              </w:rPr>
              <w:t>AMG</w:t>
            </w:r>
            <w:r>
              <w:rPr>
                <w:rFonts w:ascii="Times New Roman" w:cs="Times New Roman" w:eastAsia="Times New Roman" w:hAnsi="Times New Roman"/>
                <w:sz w:val="9"/>
                <w:szCs w:val="9"/>
                <w:b w:val="1"/>
                <w:bCs w:val="1"/>
                <w:color w:val="auto"/>
              </w:rPr>
              <w:t xml:space="preserve"> (1)</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ISG</w:t>
            </w:r>
          </w:p>
        </w:tc>
        <w:tc>
          <w:tcPr>
            <w:tcW w:w="260" w:type="dxa"/>
            <w:vAlign w:val="bottom"/>
          </w:tcPr>
          <w:p>
            <w:pPr>
              <w:spacing w:after="0"/>
              <w:rPr>
                <w:sz w:val="18"/>
                <w:szCs w:val="18"/>
                <w:color w:val="auto"/>
              </w:rPr>
            </w:pPr>
          </w:p>
        </w:tc>
        <w:tc>
          <w:tcPr>
            <w:tcW w:w="9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Location:</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2,133.9</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1,492.3</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w:t>
            </w:r>
          </w:p>
        </w:tc>
      </w:tr>
      <w:tr>
        <w:trPr>
          <w:trHeight w:val="229"/>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919.5</w:t>
            </w:r>
          </w:p>
        </w:tc>
      </w:tr>
      <w:tr>
        <w:trPr>
          <w:trHeight w:val="248"/>
        </w:trPr>
        <w:tc>
          <w:tcPr>
            <w:tcW w:w="61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8,326.2</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 Channel:</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Distributors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4,807.3</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Direct Customers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3,518.9</w:t>
            </w:r>
          </w:p>
        </w:tc>
      </w:tr>
      <w:tr>
        <w:trPr>
          <w:trHeight w:val="223"/>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8,326.2</w:t>
            </w: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hanging="492"/>
        <w:spacing w:after="0" w:line="229" w:lineRule="auto"/>
        <w:tabs>
          <w:tab w:leader="none" w:pos="349"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first quarter of 2024, the Company reorganized certain reporting units and its segment reporting structure. As a result of the reorganization of divisions within PSG and AMG, the prior-period amounts have been reclassified to conform to current-period presentation.</w:t>
      </w: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in various geographic locations. Sales to external customers have little correlation to where products are manufactured or the location of the end-customers. The Company believes it is, therefore, not meaningful to present operating profit by geographical location.</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following table illustrates the product technologies under each of the Company's reportable segments based on the Company's operating strategy. Because many products are sold into different end-markets, the total revenue reported for a segment is not indicative of actual sales in the end-market associated with that segment, but rather is the sum of the revenue from the product lines assigned to that segment. These segments represent the Company's view of the business and, as such, are used to evaluate progress of major initiatives and allocation of resources.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PSG</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AMG</w:t>
            </w: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ISG</w:t>
            </w:r>
          </w:p>
        </w:tc>
      </w:tr>
      <w:tr>
        <w:trPr>
          <w:trHeight w:val="226"/>
        </w:trPr>
        <w:tc>
          <w:tcPr>
            <w:tcW w:w="3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SiC products</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Analog products</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Actuator Drivers</w:t>
            </w:r>
          </w:p>
        </w:tc>
      </w:tr>
      <w:tr>
        <w:trPr>
          <w:trHeight w:val="229"/>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Discrete products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ASIC products</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CMOS image sensors</w:t>
            </w:r>
          </w:p>
        </w:tc>
      </w:tr>
      <w:tr>
        <w:trPr>
          <w:trHeight w:val="230"/>
        </w:trPr>
        <w:tc>
          <w:tcPr>
            <w:tcW w:w="3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MOSFET products</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Logic and Isolation products</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Image Signal Processors</w:t>
            </w:r>
          </w:p>
        </w:tc>
      </w:tr>
      <w:tr>
        <w:trPr>
          <w:trHeight w:val="230"/>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Power Module products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Non-Volatile Memory products</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Single Photon Detectors</w:t>
            </w:r>
          </w:p>
        </w:tc>
      </w:tr>
      <w:tr>
        <w:trPr>
          <w:trHeight w:val="230"/>
        </w:trPr>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Foundry products/services</w:t>
            </w:r>
          </w:p>
        </w:tc>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Short-Wavelength Infrared products</w:t>
            </w:r>
          </w:p>
        </w:tc>
      </w:tr>
      <w:tr>
        <w:trPr>
          <w:trHeight w:val="229"/>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Gate Driver products</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Indirect Time of Flight sensors</w:t>
            </w:r>
          </w:p>
        </w:tc>
      </w:tr>
      <w:tr>
        <w:trPr>
          <w:trHeight w:val="230"/>
        </w:trPr>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LSI products</w:t>
            </w:r>
          </w:p>
        </w:tc>
        <w:tc>
          <w:tcPr>
            <w:tcW w:w="366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discretely allocate assets to its operating segments, nor does management evaluate operating segments using discrete asset information. The Company’s consolidated assets used in manufacturing are generally shared across and are not specifically ascribed to operating and reportable segments. In situations where the carrying amounts assigned to an asset group needs to be evaluated for recoverability, judgment is used to determine the carrying amounts of the asset group based on the facts and circumstances.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by geographic location, is summarized below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8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1,456.5</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Czech Republic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48"/>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Company's revenue is derived primarily from product sales, and to a much lesser extent, from manufacturing services and product development agreements. Revenue recognized from product sales as a percentage of total revenue was approximately 99%, 97% and 98% for the years ended December 31, 2024, 2023 and 2022, respectively. Revenue recognized from manufacturing services and product development agreements as a percentage of total revenue was approximately 1%, 3% and 2% for the years ended December 31, 2024, 2023 and 2022,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disaggregated into end-markets and product technologies was as follows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End-Markets: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Automotive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Industrial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2,290.5</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 Other includes the end-markets of computing, consumer, networking, communications, etc.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Technologies: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Intelligent Power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3,648.6</w:t>
            </w:r>
          </w:p>
        </w:tc>
        <w:tc>
          <w:tcPr>
            <w:tcW w:w="5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3,997.3</w:t>
            </w: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Intelligent Sensing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2,755.2</w:t>
            </w:r>
          </w:p>
        </w:tc>
        <w:tc>
          <w:tcPr>
            <w:tcW w:w="0" w:type="dxa"/>
            <w:vAlign w:val="bottom"/>
          </w:tcPr>
          <w:p>
            <w:pPr>
              <w:spacing w:after="0"/>
              <w:rPr>
                <w:sz w:val="1"/>
                <w:szCs w:val="1"/>
                <w:color w:val="auto"/>
              </w:rPr>
            </w:pPr>
          </w:p>
        </w:tc>
      </w:tr>
      <w:tr>
        <w:trPr>
          <w:trHeight w:val="223"/>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7,082.3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8,326.2</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portion of the Company’s orders are firm commitments that are non-cancelable, including certain orders or contracts with a duration of less than one year. Certain of the Company's customer contracts are multi-year agreements that include committed amounts ("Long-term Supply Agreements" or "LTSAs") for which the remaining performance obligations as of December 31, 2024 were approximately $11.9 billion (excluding the remaining performance obligations for contracts having a duration of one year or less). If products are shipped according to the terms of these contracts, the Company expects to recognize approximately 35% of this amount as revenue during the next twelve months. Total revenue estimates are based on negotiated contract prices and demand quantities, and could be influenced by risks and uncertainties, including manufacturing or supply chain constraints, modifications to customer agreements, and regulatory changes, among other factors. The timing, pricing or amounts of products delivered under LTSAs may be modified or canceled in circumstances upon mutual agreement, and the actual revenue recognized for the remaining performance obligations in future periods may significantly fluctuate from current estimates.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LTSAs include non-cancelable capacity payments from the customer, which are generally due within 30 days 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agreement. These payments reserve production availability or are prepayments for the same purpose and are not recognized as revenue until the performance obligations are satisfied. Payments received in advance of the satisfaction of performance obligations are recorded as contract liabilities. During the years ended December 31, 2024 and 2023, $110.9 million and $88.2 million, respectively, were recognized as revenue for satisfying the associated performance obligations.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were as follows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11"/>
        </w:trPr>
        <w:tc>
          <w:tcPr>
            <w:tcW w:w="82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included in:</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19"/>
                <w:szCs w:val="19"/>
                <w:color w:val="auto"/>
              </w:rPr>
            </w:pP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7"/>
        </w:trPr>
        <w:tc>
          <w:tcPr>
            <w:tcW w:w="8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included in:</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29"/>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w:t>
            </w:r>
          </w:p>
        </w:tc>
      </w:tr>
      <w:tr>
        <w:trPr>
          <w:trHeight w:val="248"/>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Recent Accounting Pronouncements and Other Developments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 (Topic 280): Improvements to Reportable Segment Disclosures ("ASU 2023-07")</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to enhance disclosures about significant segment expenses. The amendments in this ASU require a public entity to disclose significant segment expenses and other segment items on an annual and interim basis and to provide in interim periods all disclosures about a reportable segment's profit or loss and assets that are currently required annually. The amendments in this ASU also clarify circumstances in which an entity can disclose multiple segment measures of profit or loss and provide new segment disclosure requirements for entities with a single reportable segment. For public business entities, the provisions of ASU 2023-07 are effective for fiscal years beginning after December 15, 2023 and interim periods within fiscal years beginning after December 15, 2024. ASU 2023-07 was adopted for the year ended December 31, 2024 retrospectively to all periods presented in the financial statements. See Note 3: ''Segments and Revenue''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Adoption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Statement (Subtopic 220-40): Reporting Comprehensive Income - Expense Disaggregation Disclosures ("ASU 2024-03")</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public business entities to expand disclosures about specific expense categories. The amendments in this ASU require a public entity to disclose, in tabular format, in the notes to the financial statements, specific information about certain costs and expenses. Although the ASU does not change the expense captions an entity presents on the face of the income statement, it requires disaggregation of certain expense captions into specified categories. For public business entities, the provisions of ASU 2024-03 are effective for fiscal years beginning after December 15, 2026. Early adoption is permitted. Management is currently evaluating the requirements under this new standard.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(Topic 740): Improvements to Income Tax Disclosures ("ASU 2023-09")</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to enhance disclosures about income taxes. The amendments in this ASU require a public entity to disclose in tabular format, using both percentages and reporting currency amounts, specific categories in the rate reconciliation and to provide additional information for reconciling items that meet a quantitative threshold. The amendments in this ASU also require taxes paid (net of refunds received) to be disaggregated by federal, state, and foreign taxes and further disaggregated for specific jurisdictions to the extent the related amounts exceed a quantitative threshold. For public business entities, the provisions of ASU 2023-09 are effective for fiscal years beginning after December 15, 2024. Early adoption is permitted. Management is currently evaluating the requirements under this new standard.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Climate Disclosure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2024, the SEC issued final rules requiring registrants to include comprehensive climate-related disclosures in annual reports and registration statements. As adopted, the final rules require large accelerated filers to make their first climate-related disclosures for fiscal years beginning in 2025. However, in April 2024, the SEC issued an order voluntarily staying the effectiveness of the new rules pending the completion of judicial review of certain legal challenges to their validity. Management is currently evaluating these rules as adopted while monitoring the status of the related litigation and the SEC’s stay.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Acquisitions and Divestitures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pursues acquisitions and divestitures from time to time to leverage its existing capabilities and further expand its business to achieve certain strategic goals. Acquisition costs are not included as components of consideration transferred and instead are accounted for as expenses in the period in which the costs are incurred. During the year ended December 31, 2024, the Company incurred acquisition and divestiture-related costs of approximately $13.1 million, an insignificant amount during the year ended 2023 and approximately $12.9 million during the year ended 2022, which were included in operating expenses in the Consolidated Statements of Operations and Comprehensive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the Company completed its acquisition of SWIR Visions Systems ("SWIR") within its ISG segment for cash consideration of approximately $20.5 million. SWIR commercialized quantum-dot-based infrared image sensors, making them a strategic addition to the Company's existing technologies.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 and Divestitures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EFK Acquisition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2022, the Company completed the acquisition of the East Fishkill, New York site and fabrication facility ("EFK") and certain other assets and liabilities from GLOBALFOUNDRIES U.S. Inc. ("GFUS"), previously announced in April 2019, for total consideration of $406.3 million, which was accounted for as a business combination. The Company paid GFUS $100.0 million and $70.0 million during 2020 and 2019, respectively, and the remaining consideration of $236.3 million was paid on January 3, 2023. Separately, the Company paid GFUS a one-time license fee of $30.0 million in cash for certain technology during 2019, which has been recognized as an intangible asset subject to amortization.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finalized its determination relating to the fair value of assets acquired and liabilities assumed from the EFK acquisition, which was completed on December 31, 2022. The final allocation of the purchase price of EFK to the assets acquired and liabilities assumed, based on their relative fair values, which was materially consistent with the preliminary allocation, was as follows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14"/>
        </w:trPr>
        <w:tc>
          <w:tcPr>
            <w:tcW w:w="9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Allocation</w:t>
            </w:r>
          </w:p>
        </w:tc>
      </w:tr>
      <w:tr>
        <w:trPr>
          <w:trHeight w:val="225"/>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9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8"/>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assets acquired/purchase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pro-forma consolidated results of operations are not included considering the significance of the acquisition to the results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the Company divested four wafer manufacturing facilities to various parties:</w:t>
      </w:r>
    </w:p>
    <w:p>
      <w:pPr>
        <w:spacing w:after="0" w:line="117" w:lineRule="exact"/>
        <w:rPr>
          <w:sz w:val="20"/>
          <w:szCs w:val="20"/>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Oudenaarde, Belgium manufacturing facility was divested to BelGaN Group BV for an aggregate consideration of approximately $19.9 million;</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 Portland, Maine, manufacturing facility was divested to Diodes Incorporated for an aggregate consideration of approximately $80.0 million;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Pocatello, Idaho manufacturing facility was divested to LA Semiconductor for an aggregate consideration of approximately $80.0 million;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Niigata, Japan manufacturing facility was divested to JS Foundry K.K., a Japan-based foundry company, for aggregate consideration of approximately $90.3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divestiture transactions resulted in a net gain on divestiture of $67.0 million in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is tested for impairment annually on the first day of the fourth quarter or more frequently if events or changes in circumstances (each, a "triggering event") would more-likely-than-not reduce the fair value of a reporting unit below its carrying value.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segment reorganization during the first quarter of 2024 discussed in Note 3: ''Segments and Revenue,'' management performed a goodwill impairment analysis on the divisions (which were the reporting units) prior to and after the reorganization and did not identify an impairment. In connection with the reorganization, the Company changed its reporting unit structure, which resulted in the reallocation of $25.9 million of goodwill from PSG to AMG based on the relative fair values of the businesses transferred.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$330.0 million of goodwill impairment charges and $56.8 million of intangible impairment charges related to the exit of QCS. As of December 31, 2022, QCS had no remaining goodwill or intangible asset balances.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goodwill by operating and reportable segments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and Reportable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16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Reallocation</w:t>
            </w:r>
          </w:p>
        </w:tc>
        <w:tc>
          <w:tcPr>
            <w:tcW w:w="1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2"/>
                <w:szCs w:val="12"/>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100" w:type="dxa"/>
            <w:vAlign w:val="bottom"/>
          </w:tcPr>
          <w:p>
            <w:pPr>
              <w:spacing w:after="0"/>
              <w:rPr>
                <w:sz w:val="12"/>
                <w:szCs w:val="12"/>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98"/>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AMG</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1,536.4</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w:t>
            </w:r>
          </w:p>
        </w:tc>
        <w:tc>
          <w:tcPr>
            <w:tcW w:w="0" w:type="dxa"/>
            <w:vAlign w:val="bottom"/>
          </w:tcPr>
          <w:p>
            <w:pPr>
              <w:spacing w:after="0"/>
              <w:rPr>
                <w:sz w:val="1"/>
                <w:szCs w:val="1"/>
                <w:color w:val="auto"/>
              </w:rPr>
            </w:pPr>
          </w:p>
        </w:tc>
      </w:tr>
      <w:tr>
        <w:trPr>
          <w:trHeight w:val="195"/>
        </w:trPr>
        <w:tc>
          <w:tcPr>
            <w:tcW w:w="2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PSG</w:t>
            </w: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676.1</w:t>
            </w:r>
          </w:p>
        </w:tc>
        <w:tc>
          <w:tcPr>
            <w:tcW w:w="0" w:type="dxa"/>
            <w:vAlign w:val="bottom"/>
          </w:tcPr>
          <w:p>
            <w:pPr>
              <w:spacing w:after="0"/>
              <w:rPr>
                <w:sz w:val="1"/>
                <w:szCs w:val="1"/>
                <w:color w:val="auto"/>
              </w:rPr>
            </w:pPr>
          </w:p>
        </w:tc>
      </w:tr>
      <w:tr>
        <w:trPr>
          <w:trHeight w:val="210"/>
        </w:trPr>
        <w:tc>
          <w:tcPr>
            <w:tcW w:w="2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ISG</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89"/>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2,368.7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2,358.4</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1,577.6</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goodwill (in millions):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balance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Addition due to business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balance as of December 31, 2024</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change in the balance of goodwill during the year ended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subject to amortization, net, were as follows (in millions):</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2024</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793" w:hanging="793"/>
        <w:spacing w:after="0"/>
        <w:tabs>
          <w:tab w:leader="none" w:pos="7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1,577.6</w:t>
      </w:r>
    </w:p>
    <w:p>
      <w:pPr>
        <w:spacing w:after="0" w:line="27" w:lineRule="exact"/>
        <w:rPr>
          <w:rFonts w:ascii="Times New Roman" w:cs="Times New Roman" w:eastAsia="Times New Roman" w:hAnsi="Times New Roman"/>
          <w:sz w:val="18"/>
          <w:szCs w:val="18"/>
          <w:color w:val="auto"/>
        </w:rPr>
      </w:pPr>
    </w:p>
    <w:p>
      <w:pPr>
        <w:ind w:left="103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10.3</w:t>
      </w:r>
    </w:p>
    <w:p>
      <w:pPr>
        <w:spacing w:after="0" w:line="43" w:lineRule="exact"/>
        <w:rPr>
          <w:sz w:val="20"/>
          <w:szCs w:val="20"/>
          <w:color w:val="auto"/>
        </w:rPr>
      </w:pPr>
    </w:p>
    <w:p>
      <w:pPr>
        <w:ind w:left="793" w:hanging="793"/>
        <w:spacing w:after="0"/>
        <w:tabs>
          <w:tab w:leader="none" w:pos="7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086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883" w:lineRule="exact"/>
        <w:rPr>
          <w:sz w:val="20"/>
          <w:szCs w:val="20"/>
          <w:color w:val="auto"/>
        </w:rPr>
      </w:pPr>
    </w:p>
    <w:p>
      <w:pPr>
        <w:sectPr>
          <w:pgSz w:w="11900" w:h="16838" w:orient="portrait"/>
          <w:cols w:equalWidth="0" w:num="2">
            <w:col w:w="9320" w:space="507"/>
            <w:col w:w="1413"/>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Impairment</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5"/>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5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3"/>
                <w:szCs w:val="13"/>
                <w:color w:val="auto"/>
              </w:rPr>
            </w:pPr>
          </w:p>
        </w:tc>
        <w:tc>
          <w:tcPr>
            <w:tcW w:w="11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Impairment</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8"/>
                <w:szCs w:val="18"/>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5"/>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acquisition-related intangible assets amounted to $58.3 million, $56.8 million and $82.8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is expected to be as follows over the next five years, and thereafter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estimated amortization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Restructuring, Asset Impairments and Other Charges, net</w:t>
            </w: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Details of restructuring, asset impairments and other charges, net were as follows (in millions):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Restructuring</w:t>
            </w:r>
          </w:p>
        </w:tc>
        <w:tc>
          <w:tcPr>
            <w:tcW w:w="160" w:type="dxa"/>
            <w:vAlign w:val="bottom"/>
          </w:tcPr>
          <w:p>
            <w:pPr>
              <w:spacing w:after="0"/>
              <w:rPr>
                <w:sz w:val="16"/>
                <w:szCs w:val="16"/>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Asset</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restart"/>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Impairments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 Business Realignment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83"/>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5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Year ended December 31, 2023:</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2023 Business Realignment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(3)</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5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Year ended December 31, 2022:</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QCS wind down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4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(4)</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2"/>
              <w:spacing w:after="0" w:line="230" w:lineRule="exact"/>
              <w:rPr>
                <w:sz w:val="20"/>
                <w:szCs w:val="20"/>
                <w:color w:val="auto"/>
              </w:rPr>
            </w:pPr>
            <w:r>
              <w:rPr>
                <w:rFonts w:ascii="Times New Roman" w:cs="Times New Roman" w:eastAsia="Times New Roman" w:hAnsi="Times New Roman"/>
                <w:sz w:val="18"/>
                <w:szCs w:val="18"/>
                <w:color w:val="auto"/>
              </w:rPr>
              <w:t xml:space="preserve">(34.8) </w:t>
            </w:r>
            <w:r>
              <w:rPr>
                <w:rFonts w:ascii="Times New Roman" w:cs="Times New Roman" w:eastAsia="Times New Roman" w:hAnsi="Times New Roman"/>
                <w:sz w:val="23"/>
                <w:szCs w:val="23"/>
                <w:color w:val="auto"/>
                <w:vertAlign w:val="superscript"/>
              </w:rPr>
              <w:t>(5)</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3"/>
        </w:trPr>
        <w:tc>
          <w:tcPr>
            <w:tcW w:w="5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480" w:hanging="472"/>
        <w:spacing w:after="0"/>
        <w:tabs>
          <w:tab w:leader="none" w:pos="48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property, plant and equipment impairment charges associated with the business realignment efforts.</w:t>
      </w:r>
    </w:p>
    <w:p>
      <w:pPr>
        <w:spacing w:after="0" w:line="55"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equipment movement costs and accelerated amortization of ROU assets for certain leases.</w:t>
      </w:r>
    </w:p>
    <w:p>
      <w:pPr>
        <w:spacing w:after="0" w:line="56"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Property, plant and equipment and ROU asset impairment charges related to the site consolidation efforts in the U.S.</w:t>
      </w:r>
    </w:p>
    <w:p>
      <w:pPr>
        <w:spacing w:after="0" w:line="56"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contract cancellation charges of approximately $15.4 million and legal charges of $3.5 million.</w:t>
      </w:r>
    </w:p>
    <w:p>
      <w:pPr>
        <w:spacing w:after="0" w:line="56"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the gain on the sale of two office buildings and the previous corporate headquarters.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accrued restructuring charges was as follows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Accrued</w:t>
            </w:r>
          </w:p>
        </w:tc>
      </w:tr>
      <w:tr>
        <w:trPr>
          <w:trHeight w:val="214"/>
        </w:trPr>
        <w:tc>
          <w:tcPr>
            <w:tcW w:w="9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Restructuring</w:t>
            </w:r>
          </w:p>
        </w:tc>
      </w:tr>
      <w:tr>
        <w:trPr>
          <w:trHeight w:val="225"/>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9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9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Usage</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9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9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Usage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Business Realignment</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to further align with the "Fab Right" manufacturing strategy and consolidate its global footprint, the Company announced a restructuring plan that impacted approximately 1,500 employees. Approximately 1,200 employees were notified of their employment termination and around 300 additional employees were relocated to another onsemi site. The Company continues to evaluate employee positions and locations for potential operating improvements and efficiencies.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these actions, the Company expects to incur severance costs, related benefit expenses and other ancillary charges totaling approximately $77.9 million, of which approximately $75.7 million was recognized during the year ended December 31, 2024. Certain of the employees notified of their employment termination are required to render future service beyond a minimum retention period in order to receive severance benefits, and the related expense will be recognized ratably over the respective service periods.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aggregate expenses relating to the actions announced in 2024, the Company paid approximately $39.5 million to approximately 1,100 terminated employees and had approximately $48.3 million accrued as of December 31, 2024. The remaining employees subject to this realignment are expected to be relocated or terminated and substantially all applicable severance and related benefit payments are expected to be paid over the next 12 months.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Business Realignment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2023, the Company announced the elimination of approximately 1,900 jobs in an effort to realign its operating models, drive organizational effectiveness and efficiencies, increase collaboration within its AMG (formerly "ASG") operating segment and IT support organizations, and right-size its workforce to consolidate manufacturing resources into fewer, common sites across the world to align with the next phase of the Company's multi-year "Fab Right" manufacturing strategy. As a result, AMG ceased its design and test operations in certain locations and there were changes in the IT operating model by transferring selected IT functions to strategic service providers. In connection with these actions, severance costs, related benefit expenses and other ancillary charges of $59.1 million were recorded during the year ended December 31, 2023.</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aggregate expense, during the years ended December 31, 2024 and 2023, the Company paid $11.1 million and $41.9 million, respectively, in connection with the approximately 1,600 employees who exited and $6.1 million remained accrued as of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QCS wind down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16, 2022, the Board of Directors approved an exit plan to wind down QCS as part of its ongoing efforts to focus on growth drivers and key markets, and to streamline its operations. As part of the exit plan, during the third quarter of 2022, the Company notified approximately 330 employees of their employment termination and incurred severance costs and other benefits of approximately $12.7 million. Approximately 304 employees exited during 2022 and the remaining employees exited during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exit plan, the Company recorded $18.9 million of exit costs, which primarily relate to contract cancellation charges and litigation charges. The Company impaired $8.0 million of property, plant and equipment as well as $10.6 million of other miscellaneous assets. The Company recorded inventory reserves associated with the QCS wind down of $24.5 million, which was recorded in cost of revenue.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Balance Sheet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significant amounts included in the Company's Consolidated Balance Sheets consist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1"/>
        </w:trPr>
        <w:tc>
          <w:tcPr>
            <w:tcW w:w="8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0" w:type="dxa"/>
            <w:vAlign w:val="bottom"/>
          </w:tcPr>
          <w:p>
            <w:pPr>
              <w:spacing w:after="0"/>
              <w:rPr>
                <w:sz w:val="1"/>
                <w:szCs w:val="1"/>
                <w:color w:val="auto"/>
              </w:rPr>
            </w:pPr>
          </w:p>
        </w:tc>
      </w:tr>
      <w:tr>
        <w:trPr>
          <w:trHeight w:val="221"/>
        </w:trPr>
        <w:tc>
          <w:tcPr>
            <w:tcW w:w="8280" w:type="dxa"/>
            <w:vAlign w:val="bottom"/>
            <w:tcBorders>
              <w:bottom w:val="single" w:sz="8" w:color="CCEEFF"/>
            </w:tcBorders>
            <w:shd w:val="clear" w:color="auto" w:fill="CCEEFF"/>
          </w:tcPr>
          <w:p>
            <w:pPr>
              <w:ind w:left="56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2,242.0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2,111.8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equipment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6,489.0</w:t>
            </w: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7,931.0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(3,529.5)</w:t>
            </w:r>
          </w:p>
        </w:tc>
        <w:tc>
          <w:tcPr>
            <w:tcW w:w="0" w:type="dxa"/>
            <w:vAlign w:val="bottom"/>
          </w:tcPr>
          <w:p>
            <w:pPr>
              <w:spacing w:after="0"/>
              <w:rPr>
                <w:sz w:val="1"/>
                <w:szCs w:val="1"/>
                <w:color w:val="auto"/>
              </w:rPr>
            </w:pPr>
          </w:p>
        </w:tc>
      </w:tr>
      <w:tr>
        <w:trPr>
          <w:trHeight w:val="223"/>
        </w:trPr>
        <w:tc>
          <w:tcPr>
            <w:tcW w:w="8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4,401.5</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Sales-related reserves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current portion of operating lease liabilities is included in this amount. See discussion below.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property, plant and equipment totaled $523.6 million, $485.3 million and $398.1 million for the years ended December 31, 2024, 2023 and 2022, respectively.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within sales-related reserves are ship and credit reserves for distributors amounting to $147.6 million and $74.3 million as of December 31,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and financing lease arrangements are comprised primarily of real estate and equipment agreements. The Company's existing leases do not contain significant restrictive provisions or residual value guarantees; however, certain leases contain renewal options and provisions for payment of real estate taxes, insurance and maintenance costs by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w:t>
            </w: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expense</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1"/>
        </w:trPr>
        <w:tc>
          <w:tcPr>
            <w:tcW w:w="6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lease liabilities included in the Consolidated Balance Sheets were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11"/>
        </w:trPr>
        <w:tc>
          <w:tcPr>
            <w:tcW w:w="82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included in:</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9"/>
                <w:szCs w:val="19"/>
                <w:color w:val="auto"/>
              </w:rPr>
            </w:pP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r>
      <w:tr>
        <w:trPr>
          <w:trHeight w:val="223"/>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97"/>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ROU assets included in:</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weighted-average remaining lease-terms and weighted-average discount rates were 10.2 years and 17.2 years, and 5.2% and 5.7%, for operating and financing leases,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an insignificant amount of commitments for operating leases that have not yet commenced. The reconciliation of the maturities of the operating and financing leases to the lease liabilities recorded in the Consolidated Balance Sheet as of December 31, 2024 was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Financing Leases</w:t>
            </w:r>
          </w:p>
        </w:tc>
        <w:tc>
          <w:tcPr>
            <w:tcW w:w="0" w:type="dxa"/>
            <w:vAlign w:val="bottom"/>
          </w:tcPr>
          <w:p>
            <w:pPr>
              <w:spacing w:after="0"/>
              <w:rPr>
                <w:sz w:val="1"/>
                <w:szCs w:val="1"/>
                <w:color w:val="auto"/>
              </w:rPr>
            </w:pPr>
          </w:p>
        </w:tc>
      </w:tr>
      <w:tr>
        <w:trPr>
          <w:trHeight w:val="226"/>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Long-Term Debt</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8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(annualized interest rates, dollars in millions):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1"/>
        </w:trPr>
        <w:tc>
          <w:tcPr>
            <w:tcW w:w="8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 due 2028, interest payable monthly at 5.69% and 6.71%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30"/>
        </w:trPr>
        <w:tc>
          <w:tcPr>
            <w:tcW w:w="828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0.50% Notes due 2029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 Notes due 2027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3.875% Notes due 2028 </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long-term debt, including current maturities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w:t>
            </w:r>
          </w:p>
        </w:tc>
        <w:tc>
          <w:tcPr>
            <w:tcW w:w="0" w:type="dxa"/>
            <w:vAlign w:val="bottom"/>
          </w:tcPr>
          <w:p>
            <w:pPr>
              <w:spacing w:after="0"/>
              <w:rPr>
                <w:sz w:val="1"/>
                <w:szCs w:val="1"/>
                <w:color w:val="auto"/>
              </w:rPr>
            </w:pPr>
          </w:p>
        </w:tc>
      </w:tr>
      <w:tr>
        <w:trPr>
          <w:trHeight w:val="230"/>
        </w:trPr>
        <w:tc>
          <w:tcPr>
            <w:tcW w:w="828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Less: Unamortized debt discount </w:t>
            </w:r>
            <w:r>
              <w:rPr>
                <w:rFonts w:ascii="Times New Roman" w:cs="Times New Roman" w:eastAsia="Times New Roman" w:hAnsi="Times New Roman"/>
                <w:sz w:val="23"/>
                <w:szCs w:val="23"/>
                <w:color w:val="auto"/>
                <w:vertAlign w:val="superscript"/>
              </w:rPr>
              <w:t>(3)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Less: Unamortized debt issuance costs </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long-term debt, including current maturities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0" w:type="dxa"/>
            <w:vAlign w:val="bottom"/>
          </w:tcPr>
          <w:p>
            <w:pPr>
              <w:spacing w:after="0"/>
              <w:rPr>
                <w:sz w:val="1"/>
                <w:szCs w:val="1"/>
                <w:color w:val="auto"/>
              </w:rPr>
            </w:pPr>
          </w:p>
        </w:tc>
      </w:tr>
      <w:tr>
        <w:trPr>
          <w:trHeight w:val="223"/>
        </w:trPr>
        <w:tc>
          <w:tcPr>
            <w:tcW w:w="8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long-term debt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2,542.6</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80" w:hanging="472"/>
        <w:spacing w:after="0"/>
        <w:tabs>
          <w:tab w:leader="none" w:pos="48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is payable on March 1 and September 1 of each year at 0.50% annually.</w:t>
      </w:r>
    </w:p>
    <w:p>
      <w:pPr>
        <w:spacing w:after="0" w:line="55" w:lineRule="exact"/>
        <w:rPr>
          <w:rFonts w:ascii="Times New Roman" w:cs="Times New Roman" w:eastAsia="Times New Roman" w:hAnsi="Times New Roman"/>
          <w:sz w:val="23"/>
          <w:szCs w:val="23"/>
          <w:color w:val="auto"/>
          <w:vertAlign w:val="superscript"/>
        </w:rPr>
      </w:pPr>
    </w:p>
    <w:p>
      <w:pPr>
        <w:ind w:left="480" w:hanging="472"/>
        <w:spacing w:after="0" w:line="194" w:lineRule="auto"/>
        <w:tabs>
          <w:tab w:leader="none" w:pos="48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Fixed rate note due September 1, 2028 with interest payable on March 1 and September 1 of each year at 3.875%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annually.</w:t>
      </w:r>
    </w:p>
    <w:p>
      <w:pPr>
        <w:spacing w:after="0" w:line="33" w:lineRule="exact"/>
        <w:rPr>
          <w:sz w:val="20"/>
          <w:szCs w:val="20"/>
          <w:color w:val="auto"/>
        </w:rPr>
      </w:pPr>
    </w:p>
    <w:p>
      <w:pPr>
        <w:ind w:left="480" w:hanging="472"/>
        <w:spacing w:after="0"/>
        <w:tabs>
          <w:tab w:leader="none" w:pos="48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Debt discount of $3.4 million and $4.2 million for the 3.875% Notes as of December 31, 2024 and December 31, 2023, respectively.</w:t>
      </w:r>
    </w:p>
    <w:p>
      <w:pPr>
        <w:spacing w:after="0" w:line="55" w:lineRule="exact"/>
        <w:rPr>
          <w:rFonts w:ascii="Times New Roman" w:cs="Times New Roman" w:eastAsia="Times New Roman" w:hAnsi="Times New Roman"/>
          <w:sz w:val="23"/>
          <w:szCs w:val="23"/>
          <w:color w:val="auto"/>
          <w:vertAlign w:val="superscript"/>
        </w:rPr>
      </w:pPr>
    </w:p>
    <w:p>
      <w:pPr>
        <w:ind w:left="500" w:right="20" w:hanging="492"/>
        <w:spacing w:after="0" w:line="219" w:lineRule="auto"/>
        <w:tabs>
          <w:tab w:leader="none" w:pos="48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Debt issuance costs of $21.7 million and $26.8 million for the 0.50% Notes, $7.7 million and $10.9 million for the 0% Notes, $1.2 million and $1.4 million for the 3.875% Notes, in each case as of December 31, 2024 and December 31, 2023, respectively.</w:t>
      </w: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long-term debt instruments are senior unsecured obligations and are fully and unconditionally guaranteed, on a joint and several basis, by each of the Company’s subsidiaries that is a borrower or guarantor under the Revolving Credit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w:t>
      </w:r>
    </w:p>
    <w:p>
      <w:pPr>
        <w:spacing w:after="0" w:line="256"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Expected maturities of gross long-term debt (including current portion - see section regarding 0% Notes below) as of December 31, 2024 are as follows (in millions):</w:t>
      </w:r>
    </w:p>
    <w:tbl>
      <w:tblPr>
        <w:tblLayout w:type="fixed"/>
        <w:tblInd w:w="0" w:type="dxa"/>
        <w:tblCellMar>
          <w:top w:w="0" w:type="dxa"/>
          <w:left w:w="0" w:type="dxa"/>
          <w:bottom w:w="0" w:type="dxa"/>
          <w:right w:w="0" w:type="dxa"/>
        </w:tblCellMar>
      </w:tblPr>
      <w:tr>
        <w:trPr>
          <w:trHeight w:val="165"/>
        </w:trPr>
        <w:tc>
          <w:tcPr>
            <w:tcW w:w="9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ind w:right="312"/>
              <w:spacing w:after="0" w:line="165" w:lineRule="exact"/>
              <w:rPr>
                <w:sz w:val="20"/>
                <w:szCs w:val="20"/>
                <w:color w:val="auto"/>
              </w:rPr>
            </w:pPr>
            <w:r>
              <w:rPr>
                <w:rFonts w:ascii="Times New Roman" w:cs="Times New Roman" w:eastAsia="Times New Roman" w:hAnsi="Times New Roman"/>
                <w:sz w:val="16"/>
                <w:szCs w:val="16"/>
                <w:b w:val="1"/>
                <w:bCs w:val="1"/>
                <w:color w:val="auto"/>
              </w:rPr>
              <w:t>Expected</w:t>
            </w:r>
          </w:p>
        </w:tc>
      </w:tr>
      <w:tr>
        <w:trPr>
          <w:trHeight w:val="214"/>
        </w:trPr>
        <w:tc>
          <w:tcPr>
            <w:tcW w:w="9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Maturities</w:t>
            </w:r>
          </w:p>
        </w:tc>
      </w:tr>
      <w:tr>
        <w:trPr>
          <w:trHeight w:val="225"/>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Activity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the Company repaid $119.6 million of the remaining outstanding principal amount of the 1.625% Notes in cash and settled the excess over the principal amount by issuing 4.5 million shares of our common stock, which resulted in $422.0 million being recorded to additional paid-in capital and treasury stock, with no overall impact to equity. In 2024, all outstanding warrants related to the 1.625% Notes were settled entirely during the first quarter. See Note 10: ''Earnings Per Share and Equity'' for additional information regarding the warrant settlement.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the Company entered into a new $1.5 billion Revolving Credit Facility.</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2023, the Company completed the offering of $1.5 billion aggregate principal amount of its 0.50% Notes and utilized the net proceeds along with cash generated from operations to (i) repay $1,086.0 million of the outstanding indebtedness under the Term Loan “B” Facility and the related transaction fees and expenses and (ii) pay the $171.5 million net cost of the related convertible note hedges after such costs were offset by the proceeds from the sale of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approximately $1,125.0 million available under the Revolving Credit Facility for future borrowings, except for amounts utilized for the letters of credit. Future borrowings are available for general corporate purposes, including working capital, capital expenditures, and acquisitions, but also include a $25.0 million sub-limit for the issuance of letters of credit and a foreign currency sub-limit of $75.0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maturity date for the borrowings under the Credit Agreement is June 22, 2028. Interest is payable based on either Secured Overnight Financing Rate (“SOFR”) or base rate options, as established at the commencement of each borrowing period, plus an applicable rate that varies based on the total leverage ratio. Lenders are owed certain fees, including a commitment fee that varies based on the total leverage ratio. The Company may prepay loans under the Credit Agreement at any time, in whole or in part, upon payment of accrued interest and break funding payments, if applicable.</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obligations are guaranteed by certain of the Company’s domestic subsidiaries and SCI LLC and are collateralized by, among other things, a pledge of the equity interests in certain of the Company’s and SCI LLC’s domestic subsidiaries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material first tier foreign subsidiaries. The affirmative and negative covenants are customary for credit agreements of this nature. The Credit Agreement contains customary events of default, the occurrence of which could result in the acceleration of the associated obligations. The financial covenant relates to a maximum total net leverage ratio of 4.00 to 1.00 calculated using the consolidated total indebtedness to consolidated earnings before interest, taxes, depreciation and amortization and other adjustments for the trailing four consecutive quarters. The Company was in compliance with the total net leverage ratio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0.50% Notes and 0% Notes</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0.50% Notes and 0% Notes are convertible and will mature on March 1, 2029 and May 1, 2027, respectively, unless earlier repurchased or redeemed by the Company or converted pursuant to their terms. The maximum number of shares of common stock issuable in connection with the conversion of the 0.50% Notes and 0% Notes is approximately 19.1 million and 21.7 million, respectively. As of December 31, 2024, neither the 0.50% Notes nor the 0% Notes were eligible for conversion by noteholders and as such, the 0% Notes were reclassified from current to long-term as of December 31, 2024. On or after the first business day of the month immediately prior to each note’s respective maturity date, until the close of business on the second scheduled trading day immediately preceding the maturity date, holders of the notes may convert all or a portion of their respective notes at any time.</w:t>
      </w:r>
    </w:p>
    <w:p>
      <w:pPr>
        <w:spacing w:after="0" w:line="2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Company may redeem for cash all or any portion of the notes, at the Company’s option, on or after March 6, 2026 and May 1, 2024 in the case of the 0.50% Notes and 0% Notes, respectively, if the last reported sale price of the Company’s common stock has been at least 130% ($135.03 and $68.86 for the</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0.50% Notes and 0% Notes, respectively) of the conversion price then in effect for at least 20 trading days (whether or not consecutive) during any 30 consecutive trading-day period (including the last trading day of such period) ending on, and including, the trading day immediately preceding the date on which the Company provides the related notice of redemption at a redemption price equal to 100% of the principal amount of the notes to be redeemed, plus accrued and unpaid interest, if any, to, but excluding, the redemption date. The Company has not elected to redeem any portion of the 0% Notes. Prior to the respective dates upon which the holders may convert their notes at any time, the holders may convert their notes at their option only under the following circumstances: (i) during any calendar quarter commencing after the calendar quarter ending on December 31, 2024 (and only during such calendar quarter), if the last reported sale price of the Company’s common stock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 (ii) during the five consecutive business-day period after any five consecutive trading-day period in which the trading price per $1,000 principal amount of the notes for each trading day of such period was less than 98% of the product of the last reported sale price of the Company’s common stock and the conversion rate on each such trading day; (iii) if the Company calls any or all of the notes for redemption, at any time prior to the close of business on the second scheduled trading day immediately preceding the redemption date; or (iv) upon the occurrence of specified corporate transactions described in each note's respective indenture agreement. The if-converted value of the 0% Notes exceeded its principal amount by $153.2 million as of December 31, 2024, calculated using the stock price on that date.</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entered into warrant transactions with certain other financial institutions, whereby the Company sold warrants to acquire 14.4 million and 15.2 million shares of the Company's common stock with respect to the 0.50% Notes and 0% Notes, respectively. The number of shares of the Company’s common stock acquired for each sale of warrants is the same covered by the associated convertible note. The maximum number of shares of common stock issuable in connection with the warrants is approximately 28.9 million and 30.4 million with respect to the 0.50% Notes and 0% Notes, respectively.</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for the 0.50% Notes and 0% Notes, the Company entered into convertible note hedge transactions with respect to the common stock with the initial purchasers or their affiliates and certain other financial institutions. The Company will exercise the note hedges simultaneously when the notes are settled. The convertible note hedges cover, subject to customary anti-dilution adjustments, the number of shares of common stock that initially underlie the associated note and that are expected to reduce the potential dilution to the common stock and/or offset potential cash payments in excess of the principal amount upon conversion of the notes.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analyzed both the warrant and convertible note hedge transactions under ASC 815-40 - "Derivatives and Hedging - Contracts in Entity's Own Equity" and determined that the instruments met the criteria for classification as an equity transaction with no subsequent remeasurement.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''Earnings Per Share and Equity'' for more information regarding outstanding warrants and convertible note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Earnings Per Share and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share of common stock attributable to ON Semiconductor Corporation is shown below (in millions, except per share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for basic earnings per share of common stock</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Add: Interest on 1.625% Notes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for diluted earnings per share of common stock</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of common stock outstanding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Dilutive effect of convertible notes and warrants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of common stock:</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3.63</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4.89</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income per share of common stock is computed by dividing net income attributable to the Company by the weighted average number of shares of common stock outstanding during the period. To calculate the diluted weighted-average shares of common stock outstanding, treasury stock method has been applied to calculate the number of incremental shares from the assumed issuance of shares relating to RSUs. The excluded number of anti-dilutive share-based awards was approximately 0.5 million, 0.1 million and 0.3 million for the years ended December 31, 2024, 2023 and 2022,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dilutive impact related to the Company’s 0.50% Notes and 0% Notes has been calculated using the if-converted method. The 0.50% Notes and the 0% Notes are repayable in cash up to the par value and in cash or shares of common stock for the excess over par value.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conversion, the convertible note hedges are not considered for purposes of the earnings per share calculations, as their effect would be anti-dilutive. Upon conversion, the convertible note hedges are expected to offset the dilutive effect of the 0.50% Notes and 0% Notes when the stock price is above $103.87 and $52.97 per share,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dilutive impact of the warrants issued concurrently with the issuance of the 0.50% Notes and 0% Notes with exercise prices of $156.78 and $74.34, respectively, has been included in the calculation of diluted weighted-average common shares outstanding, if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Settlement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time of issuance of the 1.625% Notes, the Company sold warrants to bank counterparties whereby the holders of the warrants had the option to purchase the equivalent number of shares of the Company’s common stock at a price of $30.70 per share from the Company beginning on January 16, 2024. The bank counterparties exercised 6.7 million warrants during the first quarter of 2024, and the Company settled them by issuing 4.0 million shares of common stock on a net-share basis based on the average stock price on the day of exercise, for which no cash was exchanged. All outstanding warrants related to the 1.625% Notes were settled entirely during the quarter ended March 29, 2024.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2023, the Board of Directors approved a new share repurchase program (the “Share Repurchase Program”) under which the Company may repurchase up to an aggregate of $3.0 billion of the Company's common stock (exclusive of fees, commissions and other expenses). Under the Share Repurchase Program, which does not require the Company to purchase any minimum amount of common stock or at all, the Company may repurchase shares from February 8, 2023 through December 31, 2025. The repurchases under the Share Repurchase Program amounted to $650 million and $564 million for the year ended December 31, 2024 and 2023, respectively, excluding fees, commissions and excise tax.</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Company's previous share repurchase program announced on November 15, 2018, the Company could repurchase up to $1.5 billion (exclusive of fees, commissions and other expenses) of the Company's common stock from December 1, 2018 through December 31, 2022. The repurchases under the previous share repurchase program amounted to approximately $260.0 million during the year ended December 31, 2022. The previous share repurchase program, which did not require the Company to purchase any particular amount of common stock and was subject to the discretion of the Board of Directors, expired on December 31, 2022, with approximately $1,036 million remaining unutilized.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under both the Share Repurchase Program and the previous program was as follows (in millions, except per share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Number of repurchased shares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commissions and excise tax</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Weighted-average purchase price per share </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amounts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5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w:t>
            </w:r>
          </w:p>
        </w:tc>
      </w:tr>
    </w:tbl>
    <w:p>
      <w:pPr>
        <w:spacing w:after="0" w:line="289" w:lineRule="exact"/>
        <w:rPr>
          <w:sz w:val="20"/>
          <w:szCs w:val="20"/>
          <w:color w:val="auto"/>
        </w:rPr>
      </w:pPr>
    </w:p>
    <w:p>
      <w:pPr>
        <w:ind w:left="480" w:hanging="472"/>
        <w:spacing w:after="0"/>
        <w:tabs>
          <w:tab w:leader="none" w:pos="48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None of these shares had been reissued or retired as of December 31, 2024 but may be reissued or retired later.</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Exclusive of fees, commission or other expenses.</w:t>
      </w:r>
    </w:p>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January 2025, the Company acquired, subject to a 10b5-1 trading arrangement, 1.6 million shares for $100.0 million under the Share Repurchase Program.</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for Restricted Stock Units Tax Withholding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amounts remitted for tax withholding during the years ended December 31, 2024, 2023 and 2022 were $50.8 million, $67.1 million and $78.1 million, respectively, for which the Company withheld approximately 0.7 million, 0.8 million and 1.3 million shares of common stock, respectively, that were underlying the RSUs that vested. This activity in connection with tax withholding upon vesting was not made under the Share Repurchase Program or the previous share repurchase program.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Leshan operates assembly and test operations in Leshan, China. The Company owns 80% of the outstanding equity interests in Leshan, and the results of Leshan have been consolidated in the Company's financial statements. As of December 31, 2024, the Leshan non-controlling interest balance was $18.1 million. This balance included the Leshan non-controlling interest's $1.8 million share of the earnings for the year ended December 31, 2024, partially offset by $1.7 million of dividends paid to the non-controlling shareholder. As of December 31, 2023, the Leshan non-controlling interest balance was $18.0 million. This balance included the Leshan non-controlling interest's $1.9 million share of the earnings for the year ended December 31, 2023 offset by $2.4 million of dividends declared to the non-controlling shareholder.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Share-Based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related to the Company's RSUs, stock grant awards and ESPP was recorded within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Comprehensive Income as follows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3"/>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 net of taxes</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2024, total unrecognized share-based compensation expense, net of estimated forfeitures, related to non-vested RSUs with service, performance and market conditions was $150.0 million, which is expected to be recognized over a weighted-average period of 1.6 years. Upon vesting of RSUs, stock grant awards or completion of a purchase under the ESPP, the Company issues new shares of common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per unit of each RSU and stock grant award is determined on the grant date. Share-based compensation expense is based on awards ultimately expected to vest. Forfeitures are estimated at the time of grant and revised, if necessary, in subsequent periods if actual forfeitures differ from those estimates. The annualized pre-vesting forfeitures for RSUs were estimated to be approximately 8% for the years ended December 31, 2024,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and Award Descriptions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23, 2010, the Company adopted the Amended and Restated SIP which has been subsequently amended over the years primarily to increase the number of shares of common stock subject to all awards. Generally, RSUs granted under the Amended and Restated SIP vest ratably over three years for awards with service conditions and over two, three, or five years for awards with performance or market conditions, or a combination thereof, and are settled in shares of the Company's common stock upon vesting. Generally, upon the termination of an RSU holder's employment, all unvested RSUs will immediately cancel, except under circumstances where the service condition has been fulfilled.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20, 2021, the Company's stockholders approved certain amendments to the Amended and Restated SIP to extend the expiration date from 2022 to 2031 and to increase the number of shares of common stock subject to all awards by 22.5 million to 109.5 million. As of December 31, 2024, there was an aggregate of 33.6 million shares of common stock available for grant under the Amended and Restated SIP.</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of RSUs during the year ended December 31, 2024 was as follows (number of shares in millions):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8280" w:type="dxa"/>
            <w:vAlign w:val="bottom"/>
          </w:tcPr>
          <w:p>
            <w:pPr>
              <w:spacing w:after="0"/>
              <w:rPr>
                <w:sz w:val="14"/>
                <w:szCs w:val="14"/>
                <w:color w:val="auto"/>
              </w:rPr>
            </w:pPr>
          </w:p>
        </w:tc>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2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shares of RSUs at December 31, 2023</w:t>
            </w:r>
          </w:p>
        </w:tc>
        <w:tc>
          <w:tcPr>
            <w:tcW w:w="1440" w:type="dxa"/>
            <w:vAlign w:val="bottom"/>
            <w:shd w:val="clear" w:color="auto" w:fill="CCEEFF"/>
          </w:tcPr>
          <w:p>
            <w:pPr>
              <w:jc w:val="center"/>
              <w:ind w:left="971"/>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0" w:type="dxa"/>
            <w:vAlign w:val="bottom"/>
          </w:tcPr>
          <w:p>
            <w:pPr>
              <w:spacing w:after="0"/>
              <w:rPr>
                <w:sz w:val="1"/>
                <w:szCs w:val="1"/>
                <w:color w:val="auto"/>
              </w:rPr>
            </w:pPr>
          </w:p>
        </w:tc>
      </w:tr>
      <w:tr>
        <w:trPr>
          <w:trHeight w:val="229"/>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center"/>
              <w:ind w:left="971"/>
              <w:spacing w:after="0"/>
              <w:rPr>
                <w:sz w:val="20"/>
                <w:szCs w:val="20"/>
                <w:color w:val="auto"/>
              </w:rPr>
            </w:pPr>
            <w:r>
              <w:rPr>
                <w:rFonts w:ascii="Times New Roman" w:cs="Times New Roman" w:eastAsia="Times New Roman" w:hAnsi="Times New Roman"/>
                <w:sz w:val="18"/>
                <w:szCs w:val="18"/>
                <w:color w:val="auto"/>
                <w:w w:val="97"/>
              </w:rPr>
              <w:t>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Achieved</w:t>
            </w:r>
          </w:p>
        </w:tc>
        <w:tc>
          <w:tcPr>
            <w:tcW w:w="1440" w:type="dxa"/>
            <w:vAlign w:val="bottom"/>
            <w:shd w:val="clear" w:color="auto" w:fill="CCEEFF"/>
          </w:tcPr>
          <w:p>
            <w:pPr>
              <w:jc w:val="center"/>
              <w:ind w:left="971"/>
              <w:spacing w:after="0"/>
              <w:rPr>
                <w:sz w:val="20"/>
                <w:szCs w:val="20"/>
                <w:color w:val="auto"/>
              </w:rPr>
            </w:pPr>
            <w:r>
              <w:rPr>
                <w:rFonts w:ascii="Times New Roman" w:cs="Times New Roman" w:eastAsia="Times New Roman" w:hAnsi="Times New Roman"/>
                <w:sz w:val="18"/>
                <w:szCs w:val="18"/>
                <w:color w:val="auto"/>
                <w:w w:val="97"/>
              </w:rPr>
              <w:t>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0" w:type="dxa"/>
            <w:vAlign w:val="bottom"/>
          </w:tcPr>
          <w:p>
            <w:pPr>
              <w:spacing w:after="0"/>
              <w:rPr>
                <w:sz w:val="1"/>
                <w:szCs w:val="1"/>
                <w:color w:val="auto"/>
              </w:rPr>
            </w:pPr>
          </w:p>
        </w:tc>
      </w:tr>
      <w:tr>
        <w:trPr>
          <w:trHeight w:val="229"/>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tcPr>
          <w:p>
            <w:pPr>
              <w:jc w:val="center"/>
              <w:ind w:left="931"/>
              <w:spacing w:after="0"/>
              <w:rPr>
                <w:sz w:val="20"/>
                <w:szCs w:val="20"/>
                <w:color w:val="auto"/>
              </w:rPr>
            </w:pPr>
            <w:r>
              <w:rPr>
                <w:rFonts w:ascii="Times New Roman" w:cs="Times New Roman" w:eastAsia="Times New Roman" w:hAnsi="Times New Roman"/>
                <w:sz w:val="18"/>
                <w:szCs w:val="18"/>
                <w:color w:val="auto"/>
                <w:w w:val="98"/>
              </w:rPr>
              <w:t>(1.9)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center"/>
              <w:ind w:left="931"/>
              <w:spacing w:after="0"/>
              <w:rPr>
                <w:sz w:val="20"/>
                <w:szCs w:val="20"/>
                <w:color w:val="auto"/>
              </w:rPr>
            </w:pPr>
            <w:r>
              <w:rPr>
                <w:rFonts w:ascii="Times New Roman" w:cs="Times New Roman" w:eastAsia="Times New Roman" w:hAnsi="Times New Roman"/>
                <w:sz w:val="18"/>
                <w:szCs w:val="18"/>
                <w:color w:val="auto"/>
                <w:w w:val="98"/>
              </w:rPr>
              <w:t>(0.4)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shares of RSUs at December 31, 2024</w:t>
            </w:r>
          </w:p>
        </w:tc>
        <w:tc>
          <w:tcPr>
            <w:tcW w:w="1440" w:type="dxa"/>
            <w:vAlign w:val="bottom"/>
            <w:tcBorders>
              <w:bottom w:val="single" w:sz="8" w:color="auto"/>
            </w:tcBorders>
          </w:tcPr>
          <w:p>
            <w:pPr>
              <w:jc w:val="center"/>
              <w:ind w:left="971"/>
              <w:spacing w:after="0"/>
              <w:rPr>
                <w:sz w:val="20"/>
                <w:szCs w:val="20"/>
                <w:color w:val="auto"/>
              </w:rPr>
            </w:pPr>
            <w:r>
              <w:rPr>
                <w:rFonts w:ascii="Times New Roman" w:cs="Times New Roman" w:eastAsia="Times New Roman" w:hAnsi="Times New Roman"/>
                <w:sz w:val="18"/>
                <w:szCs w:val="18"/>
                <w:color w:val="auto"/>
                <w:w w:val="97"/>
              </w:rPr>
              <w:t>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RSUs awarded during 2024 include RSUs that vest upon satisfaction of service conditions and 0.9 million RSUs granted to certain officers and employees of the Company that vest upon the achievement of certain performance criteria and market conditions. The number of units expected to vest is evaluated each reporting period and compensation expense is recognized for those units for which achievement of the performance criteria is considered probable. Compensation expense for RSUs with market conditions is recognized based on the grant date fair value irrespective of the achievement of the condition. The fair values of the vested awards are based on the stock price as of the vesting dates, and during the years ended December 31, 2024, 2023 and 2022 totaled $142.9 million, $202.6 million and $232.8 million, respectively.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unrecognized compensation expense, net of estimated forfeitures related to non-vested RSUs granted under the Amended and Restated SIP with service, performance and market conditions, was $100.6 million, $12.6 million and $36.8 million, respectively. For RSUs with time-based service conditions, expense is being recognized over the vesting period; for RSUs with performance criteria, expense is recognized over the period when the performance criteria is expected to be achieved; for RSUs with market conditions, expense is recognized over the period in which the condition is assessed irrespective of whether it would be achieved or not. Unrecognized compensation cost for awards with certain performance criteria that are not expected to be achieved is not included here. Total compensation expense related to service-based, performance-based and market-based RSUs was $128.4 million for the year ended December 31, 2024, which included $75.1 million for RSUs with time-based service conditions that were granted in 2024 and prior that are expected to vest.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17, 2000, the Company adopted the ESPP. During the years ended December 31, 2024, 2023 and 2022, employees purchased approximately 0.4 million, 0.4 million and 0.5 million shares, respectively, under the ESPP. On May 20, 2021, the stockholders approved an amendment to the ESPP, which increased the number of shares available to be issued pursuant to the ESPP by 6.0 million to 34.5 million. As of December 31, 2024, there were approximately 6.9 million shares available for issuance under the ESPP. Total compensation expense related to the ESPP for the year ended December 31, 2024 was $7.7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Employee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defined benefit pension plans for employees of certain of its foreign subsidiaries. Such plans conform to local practice in terms of providing minimum benefits mandated by law, collective agreements or customary practice. The Company recognizes the aggregate amount of all overfunded plans as assets and the aggregate amount of all underfunded plans as liabilities in its Consolidated Balance Sheets. The Company's expected long-term rate of return on plan assets is updated at least annually, taking into consideration its asset allocation, historical returns on similar types of assets and the current economic environment. For estimation purposes, the Company assumes its long-term asset mix will generally be consistent with the current mix. The Company determines its discount rates using highly rated corporate bond yields and government bond yields.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under all of the plans are valued utilizing the projected unit credit cost method. The Company's policy is to fund its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defined benefit plans in accordance with local requirements and regulations. The funding is primarily driven by the current assessment of the economic environment and projected benefit payments of foreign subsidiaries. The measurement date for determining the defined benefit obligations for all plans is December 31 of each year.</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actuarial gains and losses during the period that the Company's annual pension plan actuarial valuations are prepared, which generally occurs during the fourth calendar quarter of each year, or during any interim period where a revaluation is deemed necessary. The Company recognized an actuarial gain of $12.2 million for the year ended December 31, 2024, an actuarial loss of $4.0 million for the year ended December 31, 2023 and an actuarial gain of $22.1 million for the year ended December 31, 2022. Of the actuarial gain for 2024, $9.5 million was primarily due to an increase in the discount rates and plan expense and $2.7 million was due to higher-than-expected returns on plan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status of the Company's foreign defined benefit pension plans and the net periodic pension cost (dollars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Actuarial (gains) losses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pension (gain) cost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assumptions: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used for net periodic pension costs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Discount rate used for pension benefit obligations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0" w:type="dxa"/>
            <w:vAlign w:val="bottom"/>
          </w:tcPr>
          <w:p>
            <w:pPr>
              <w:spacing w:after="0"/>
              <w:rPr>
                <w:sz w:val="1"/>
                <w:szCs w:val="1"/>
                <w:color w:val="auto"/>
              </w:rPr>
            </w:pPr>
          </w:p>
        </w:tc>
      </w:tr>
      <w:tr>
        <w:trPr>
          <w:trHeight w:val="234"/>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long-term rate of return on plan assets was determined using the weighted-average method, which incorporates factors that include the historical inflation rates, interest rate yield curve and current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11"/>
        </w:trPr>
        <w:tc>
          <w:tcPr>
            <w:tcW w:w="8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1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projected benefit obligation ("PBO"):</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9"/>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PBO at the beginning of the year</w:t>
            </w: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2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Divestiture of business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actuarial (gain) loss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 by plan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 by the Company</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Translation and other (gain) loss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PBO at the end of the year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23"/>
        </w:trPr>
        <w:tc>
          <w:tcPr>
            <w:tcW w:w="8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benefit obligation at the end of the year</w:t>
            </w:r>
          </w:p>
        </w:tc>
        <w:tc>
          <w:tcPr>
            <w:tcW w:w="9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Change in plan assets: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plan assets at the beginning of the year</w:t>
            </w: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Divestiture of businesses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Benefits paid from plan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Employer contributions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Translation and other loss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Fair value of plan assets at the end of the year</w:t>
            </w:r>
          </w:p>
        </w:tc>
        <w:tc>
          <w:tcPr>
            <w:tcW w:w="9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0"/>
        </w:trPr>
        <w:tc>
          <w:tcPr>
            <w:tcW w:w="8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450"/>
        </w:trPr>
        <w:tc>
          <w:tcPr>
            <w:tcW w:w="8220" w:type="dxa"/>
            <w:vAlign w:val="bottom"/>
          </w:tcPr>
          <w:p>
            <w:pPr>
              <w:spacing w:after="0"/>
              <w:rPr>
                <w:sz w:val="24"/>
                <w:szCs w:val="24"/>
                <w:color w:val="auto"/>
              </w:rPr>
            </w:pPr>
          </w:p>
        </w:tc>
        <w:tc>
          <w:tcPr>
            <w:tcW w:w="24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24"/>
                <w:szCs w:val="24"/>
                <w:color w:val="auto"/>
              </w:rPr>
            </w:pPr>
          </w:p>
        </w:tc>
      </w:tr>
      <w:tr>
        <w:trPr>
          <w:trHeight w:val="209"/>
        </w:trPr>
        <w:tc>
          <w:tcPr>
            <w:tcW w:w="8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1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Plans with underfunded or non-funded PBO:</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PBO</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30"/>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Plans with underfunded or non-funded accumulated benefit obligation: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9"/>
                <w:szCs w:val="19"/>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Amounts recognized in the balance sheet consist of:</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Non-current liabilities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48"/>
        </w:trPr>
        <w:tc>
          <w:tcPr>
            <w:tcW w:w="82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Funded status</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PBO and pension asset balances for the divested fab in Niigata, Japan were derecognized during 2024 upon approval from the appropriate authorities.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''Acquisitions and Divestitures'' for further discussion of the Niigata factory sale.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Assets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overall investment strategy is to focus on stable and low credit risk investments aimed at providing a positive rate of return to the plan assets. The Company has an investment mix with a wide diversification of asset types and fund strategies that are aligned with each region and foreign location's economy and market conditions. Investments in government securities are generally guaranteed by the respective government offering the securities. Investments in corporate bonds, equity securities, and foreign mutual funds are made with the expectation that these investments will give an adequate rate of long-term returns despite periods of high volatility. Other types of investments include investments in cash deposits, money market funds and insurance contracts. Asset allocations are based on the anticipated required funding amounts, timing of benefit payments, historical returns on similar assets and the influence of the current economic environment.</w:t>
      </w:r>
    </w:p>
    <w:p>
      <w:pPr>
        <w:spacing w:after="0" w:line="2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a summary of investments measured at fair value and the asset allocations of the plan assets in the Company's foreign pension plans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1"/>
        </w:trPr>
        <w:tc>
          <w:tcPr>
            <w:tcW w:w="524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5240" w:type="dxa"/>
            <w:vAlign w:val="bottom"/>
            <w:tcBorders>
              <w:top w:val="single" w:sz="8" w:color="CCEEFF"/>
            </w:tcBorders>
            <w:shd w:val="clear" w:color="auto" w:fill="CCEEFF"/>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Cash/Money Markets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Foreign government/treasury securities </w:t>
            </w:r>
            <w:r>
              <w:rPr>
                <w:rFonts w:ascii="Times New Roman" w:cs="Times New Roman" w:eastAsia="Times New Roman" w:hAnsi="Times New Roman"/>
                <w:sz w:val="23"/>
                <w:szCs w:val="23"/>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Corporate bonds, debentures </w:t>
            </w:r>
            <w:r>
              <w:rPr>
                <w:rFonts w:ascii="Times New Roman" w:cs="Times New Roman" w:eastAsia="Times New Roman" w:hAnsi="Times New Roman"/>
                <w:sz w:val="23"/>
                <w:szCs w:val="23"/>
                <w:color w:val="auto"/>
                <w:vertAlign w:val="superscript"/>
              </w:rPr>
              <w:t>(2)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insurance contracts </w:t>
            </w:r>
            <w:r>
              <w:rPr>
                <w:rFonts w:ascii="Times New Roman" w:cs="Times New Roman" w:eastAsia="Times New Roman" w:hAnsi="Times New Roman"/>
                <w:sz w:val="23"/>
                <w:szCs w:val="23"/>
                <w:color w:val="auto"/>
                <w:vertAlign w:val="superscript"/>
              </w:rPr>
              <w:t>(4)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48"/>
        </w:trPr>
        <w:tc>
          <w:tcPr>
            <w:tcW w:w="5240" w:type="dxa"/>
            <w:vAlign w:val="bottom"/>
            <w:tcBorders>
              <w:top w:val="single" w:sz="8" w:color="CCEEFF"/>
              <w:bottom w:val="single" w:sz="8" w:color="CCEEFF"/>
            </w:tcBorders>
            <w:shd w:val="clear" w:color="auto" w:fill="CCEEFF"/>
          </w:tcPr>
          <w:p>
            <w:pPr>
              <w:jc w:val="center"/>
              <w:ind w:right="3870"/>
              <w:spacing w:after="0"/>
              <w:rPr>
                <w:sz w:val="20"/>
                <w:szCs w:val="20"/>
                <w:color w:val="auto"/>
              </w:rPr>
            </w:pPr>
            <w:r>
              <w:rPr>
                <w:rFonts w:ascii="Times New Roman" w:cs="Times New Roman" w:eastAsia="Times New Roman" w:hAnsi="Times New Roman"/>
                <w:sz w:val="18"/>
                <w:szCs w:val="18"/>
                <w:color w:val="auto"/>
                <w:w w:val="94"/>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76"/>
        </w:trPr>
        <w:tc>
          <w:tcPr>
            <w:tcW w:w="52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1"/>
        </w:trPr>
        <w:tc>
          <w:tcPr>
            <w:tcW w:w="524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Allocation</w:t>
            </w:r>
          </w:p>
        </w:tc>
        <w:tc>
          <w:tcPr>
            <w:tcW w:w="24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5240" w:type="dxa"/>
            <w:vAlign w:val="bottom"/>
            <w:tcBorders>
              <w:top w:val="single" w:sz="8" w:color="CCEEFF"/>
            </w:tcBorders>
            <w:shd w:val="clear" w:color="auto" w:fill="CCEEFF"/>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Cash/Money Markets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Foreign government/treasury securities </w:t>
            </w:r>
            <w:r>
              <w:rPr>
                <w:rFonts w:ascii="Times New Roman" w:cs="Times New Roman" w:eastAsia="Times New Roman" w:hAnsi="Times New Roman"/>
                <w:sz w:val="23"/>
                <w:szCs w:val="23"/>
                <w:color w:val="auto"/>
                <w:vertAlign w:val="superscript"/>
              </w:rPr>
              <w:t>(1)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Corporate bonds, debentures </w:t>
            </w:r>
            <w:r>
              <w:rPr>
                <w:rFonts w:ascii="Times New Roman" w:cs="Times New Roman" w:eastAsia="Times New Roman" w:hAnsi="Times New Roman"/>
                <w:sz w:val="23"/>
                <w:szCs w:val="23"/>
                <w:color w:val="auto"/>
                <w:vertAlign w:val="superscript"/>
              </w:rPr>
              <w:t>(2)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Mutual funds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insurance contracts </w:t>
            </w:r>
            <w:r>
              <w:rPr>
                <w:rFonts w:ascii="Times New Roman" w:cs="Times New Roman" w:eastAsia="Times New Roman" w:hAnsi="Times New Roman"/>
                <w:sz w:val="23"/>
                <w:szCs w:val="23"/>
                <w:color w:val="auto"/>
                <w:vertAlign w:val="superscript"/>
              </w:rPr>
              <w:t>(4)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3"/>
        </w:trPr>
        <w:tc>
          <w:tcPr>
            <w:tcW w:w="5240" w:type="dxa"/>
            <w:vAlign w:val="bottom"/>
          </w:tcPr>
          <w:p>
            <w:pPr>
              <w:jc w:val="center"/>
              <w:ind w:right="3870"/>
              <w:spacing w:after="0"/>
              <w:rPr>
                <w:sz w:val="20"/>
                <w:szCs w:val="20"/>
                <w:color w:val="auto"/>
              </w:rPr>
            </w:pPr>
            <w:r>
              <w:rPr>
                <w:rFonts w:ascii="Times New Roman" w:cs="Times New Roman" w:eastAsia="Times New Roman" w:hAnsi="Times New Roman"/>
                <w:sz w:val="18"/>
                <w:szCs w:val="18"/>
                <w:color w:val="auto"/>
                <w:w w:val="94"/>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5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80" w:hanging="472"/>
        <w:spacing w:after="0"/>
        <w:tabs>
          <w:tab w:leader="none" w:pos="48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investments primarily in guaranteed return securities</w:t>
      </w:r>
    </w:p>
    <w:p>
      <w:pPr>
        <w:spacing w:after="0" w:line="55" w:lineRule="exact"/>
        <w:rPr>
          <w:rFonts w:ascii="Times New Roman" w:cs="Times New Roman" w:eastAsia="Times New Roman" w:hAnsi="Times New Roman"/>
          <w:sz w:val="23"/>
          <w:szCs w:val="23"/>
          <w:color w:val="auto"/>
          <w:vertAlign w:val="superscript"/>
        </w:rPr>
      </w:pPr>
    </w:p>
    <w:p>
      <w:pPr>
        <w:ind w:left="500" w:hanging="492"/>
        <w:spacing w:after="0" w:line="219" w:lineRule="auto"/>
        <w:tabs>
          <w:tab w:leader="none" w:pos="4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investments in government bonds and corporate bonds of developed countries, emerging market government bonds, emerging market corporate bonds and convertible bonds</w:t>
      </w:r>
    </w:p>
    <w:p>
      <w:pPr>
        <w:spacing w:after="0" w:line="5"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investments in equity securities of developed countries and emerging markets</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certain investments with insurance companies that guarantee a minimum rate of return on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available, the Company uses observable market data, including pricing on recently closed market transactions and quoted prices, which are included in Level 2. When data is unobservable, valuation methodologies using comparable market data are utilized and included in Level 3. Activity during the years ended December 31, 2024 and 2023, respectively, for plan assets with fair value measurement using significant unobservable inputs (Level 3) was as follows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-136525</wp:posOffset>
            </wp:positionV>
            <wp:extent cx="711517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Actual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Purchase, sales and settlements, net</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Foreign 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Actual return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Purchase, sales and settlements, net</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Foreign 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Investment and</w:t>
      </w:r>
    </w:p>
    <w:p>
      <w:pPr>
        <w:jc w:val="center"/>
        <w:ind w:right="33"/>
        <w:spacing w:after="0" w:line="211" w:lineRule="auto"/>
        <w:rPr>
          <w:sz w:val="20"/>
          <w:szCs w:val="20"/>
          <w:color w:val="auto"/>
        </w:rPr>
      </w:pPr>
      <w:r>
        <w:rPr>
          <w:rFonts w:ascii="Times New Roman" w:cs="Times New Roman" w:eastAsia="Times New Roman" w:hAnsi="Times New Roman"/>
          <w:sz w:val="16"/>
          <w:szCs w:val="16"/>
          <w:b w:val="1"/>
          <w:bCs w:val="1"/>
          <w:color w:val="auto"/>
        </w:rPr>
        <w:t>Insurance</w:t>
      </w:r>
    </w:p>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Contracts</w:t>
      </w:r>
    </w:p>
    <w:p>
      <w:pPr>
        <w:spacing w:after="0" w:line="23" w:lineRule="exact"/>
        <w:rPr>
          <w:sz w:val="20"/>
          <w:szCs w:val="20"/>
          <w:color w:val="auto"/>
        </w:rPr>
      </w:pPr>
    </w:p>
    <w:p>
      <w:pPr>
        <w:ind w:left="1027" w:hanging="1027"/>
        <w:spacing w:after="0"/>
        <w:tabs>
          <w:tab w:leader="none" w:pos="10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w:t>
      </w:r>
    </w:p>
    <w:p>
      <w:pPr>
        <w:spacing w:after="0" w:line="27" w:lineRule="exact"/>
        <w:rPr>
          <w:rFonts w:ascii="Times New Roman" w:cs="Times New Roman" w:eastAsia="Times New Roman" w:hAnsi="Times New Roman"/>
          <w:sz w:val="18"/>
          <w:szCs w:val="18"/>
          <w:color w:val="auto"/>
        </w:rPr>
      </w:pPr>
    </w:p>
    <w:p>
      <w:pPr>
        <w:ind w:left="11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0.8</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24.5</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0.8</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(1.3)</w:t>
      </w:r>
    </w:p>
    <w:p>
      <w:pPr>
        <w:spacing w:after="0" w:line="31" w:lineRule="exact"/>
        <w:rPr>
          <w:sz w:val="20"/>
          <w:szCs w:val="20"/>
          <w:color w:val="auto"/>
        </w:rPr>
      </w:pPr>
    </w:p>
    <w:p>
      <w:pPr>
        <w:ind w:left="1027" w:hanging="1027"/>
        <w:spacing w:after="0"/>
        <w:tabs>
          <w:tab w:leader="none" w:pos="102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086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93" w:space="720"/>
            <w:col w:w="1427"/>
          </w:cols>
          <w:pgMar w:left="320" w:top="121" w:right="339" w:bottom="1440" w:gutter="0" w:footer="0" w:header="0"/>
          <w:type w:val="continuous"/>
        </w:sectPr>
      </w:pP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generally contributes to its foreign defined benefit plans based on specific plan or statutory requirements. In 2025, the Company expects contributions to be immaterial. The expected benefit payments from the Company's defined benefit plans from 2025 through 2029 and the five years thereafter are as follows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Five years thereafter</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48"/>
        </w:trPr>
        <w:tc>
          <w:tcPr>
            <w:tcW w:w="9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deferred compensation savings plan for all eligible U.S. employees established under the provisions of Section 401(k) of the Internal Revenue Code. Eligible employees may contribute a percentage of their salary subject to certain limitations. The Company has elected to match 100% of employee contributions between 0% and 4% of their salary, with an annual limit as mandated by the Internal Revenue Service. The Company recognized $20.0 million, $19.9 million and $14.7 million of expense relating to matching contributions in 2024, 2023 and 2022, respectively.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foreign subsidiaries have defined contribution plans in which eligible employees participate. The Company recognized compensation expense of $23.7 million, $22.3 million and $20.5 million relating to these plans for the years ended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agreements with suppliers, external manufacturers and other vendors for capital expenditures, inventory purchases, manufacturing services, information technology and other goods and services. The following is a schedule by year of future minimum purchase obligations under non-cancelable arrangements entered into during the ordinary course of business as of December 31, 2024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0" w:type="dxa"/>
            <w:vAlign w:val="bottom"/>
          </w:tcPr>
          <w:p>
            <w:pPr>
              <w:spacing w:after="0"/>
              <w:rPr>
                <w:sz w:val="1"/>
                <w:szCs w:val="1"/>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358"/>
        </w:trPr>
        <w:tc>
          <w:tcPr>
            <w:tcW w:w="9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0" w:type="dxa"/>
            <w:vAlign w:val="bottom"/>
          </w:tcPr>
          <w:p>
            <w:pPr>
              <w:spacing w:after="0"/>
              <w:rPr>
                <w:sz w:val="1"/>
                <w:szCs w:val="1"/>
                <w:color w:val="auto"/>
              </w:rPr>
            </w:pPr>
          </w:p>
        </w:tc>
      </w:tr>
      <w:tr>
        <w:trPr>
          <w:trHeight w:val="142"/>
        </w:trPr>
        <w:tc>
          <w:tcPr>
            <w:tcW w:w="98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vMerge w:val="continue"/>
            <w:shd w:val="clear" w:color="auto" w:fill="CCEEFF"/>
          </w:tcPr>
          <w:p>
            <w:pPr>
              <w:spacing w:after="0"/>
              <w:rPr>
                <w:sz w:val="12"/>
                <w:szCs w:val="12"/>
                <w:color w:val="auto"/>
              </w:rPr>
            </w:pPr>
          </w:p>
        </w:tc>
        <w:tc>
          <w:tcPr>
            <w:tcW w:w="9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leases its headquarters in Scottsdale, Arizona on Salt River Maricopa Indian Community property.</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Though the Company has encountered and dealt with a number of environmental issues over time relating to the various locations that comprise its operations, any costs to the Company in connection with such matters have not been, and, based on the information available, are not expected to be material.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a summary of such environmental contingencies:</w:t>
      </w:r>
    </w:p>
    <w:p>
      <w:pPr>
        <w:spacing w:after="0" w:line="239" w:lineRule="exact"/>
        <w:rPr>
          <w:sz w:val="20"/>
          <w:szCs w:val="20"/>
          <w:color w:val="auto"/>
        </w:rPr>
      </w:pPr>
    </w:p>
    <w:p>
      <w:pPr>
        <w:jc w:val="both"/>
        <w:ind w:left="660" w:hanging="328"/>
        <w:spacing w:after="0" w:line="26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East Greenwich, Rhode Island</w:t>
      </w:r>
      <w:r>
        <w:rPr>
          <w:rFonts w:ascii="Times New Roman" w:cs="Times New Roman" w:eastAsia="Times New Roman" w:hAnsi="Times New Roman"/>
          <w:sz w:val="18"/>
          <w:szCs w:val="18"/>
          <w:color w:val="auto"/>
        </w:rPr>
        <w:t>. The Company’s design center in East Greenwich, Rhode Island is located on property that has localized soil contamination. In connection with the purchase of the facility, the Company entered into a Settlement Agreement and Covenant Not to Sue with the State of Rhode Island. This agreement requires that remedial actions be undertaken and a quarterly groundwater monitoring program be initiated by the former owners of the property.</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Santa Clara, California</w:t>
      </w:r>
      <w:r>
        <w:rPr>
          <w:rFonts w:ascii="Times New Roman" w:cs="Times New Roman" w:eastAsia="Times New Roman" w:hAnsi="Times New Roman"/>
          <w:sz w:val="18"/>
          <w:szCs w:val="18"/>
          <w:color w:val="auto"/>
        </w:rPr>
        <w:t>. As a result of the acquisition of AMIS in 2008, the Company is a "primary responsible party" to an environmental remediation and clean-up plan at AMIS’s former corporate headquarters in Santa Clara, California. Costs incurred by AMIS include implementation of the clean-up plan, operations and maintenance of remediation systems, and other project management costs. However, AMIS’s former parent company, a subsidiary of Nippon Mining, contractually agreed to indemnify AMIS and the Company for any obligations relating to environmental remediation and clean-up activities at this location. This facility was divested to Lincoln Property Company Commercial, Inc. in 2022.</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South Portland, Maine</w:t>
      </w:r>
      <w:r>
        <w:rPr>
          <w:rFonts w:ascii="Times New Roman" w:cs="Times New Roman" w:eastAsia="Times New Roman" w:hAnsi="Times New Roman"/>
          <w:sz w:val="18"/>
          <w:szCs w:val="18"/>
          <w:color w:val="auto"/>
        </w:rPr>
        <w:t>. Through its acquisition of Fairchild, the Company acquired a facility in South Portland, Maine. This facility was divested to Diodes, Inc. in 2022. This facility has ongoing environmental remediation projects to respond to certain releases of hazardous substances that occurred prior to the leveraged recapitalization of Fairchild from its former parent company, National Semiconductor Corporation, which is now owned by TI. To the extent the Company could still incur liabilities with respect to these remediation projects, pursuant to a 1997 asset purchase agreement entered into in connection with the Fairchild recapitalization, National Semiconductor Corporation agreed to indemnify Fairchild, without limitation and for an indefinite period of time, for all future costs related to these projects.</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Bucheon, South Korea</w:t>
      </w:r>
      <w:r>
        <w:rPr>
          <w:rFonts w:ascii="Times New Roman" w:cs="Times New Roman" w:eastAsia="Times New Roman" w:hAnsi="Times New Roman"/>
          <w:sz w:val="18"/>
          <w:szCs w:val="18"/>
          <w:color w:val="auto"/>
        </w:rPr>
        <w:t>. Under a 1999 asset purchase agreement pursuant to which Fairchild purchased the power device business of Samsung, Samsung agreed to indemnify Fairchild in an amount up to $150.0 million for remediation costs and other liabilities related to historical contamination at Samsung’s Bucheon, South Korea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Mountain Top, Pennsylvania</w:t>
      </w:r>
      <w:r>
        <w:rPr>
          <w:rFonts w:ascii="Times New Roman" w:cs="Times New Roman" w:eastAsia="Times New Roman" w:hAnsi="Times New Roman"/>
          <w:sz w:val="18"/>
          <w:szCs w:val="18"/>
          <w:color w:val="auto"/>
        </w:rPr>
        <w:t>. Under a 2001 asset purchase agreement pursuant to which Fairchild purchased a manufacturing facility in Mountain Top, Pennsylvania, Intersil Corp. (subsequently acquired by Renesas Electronics Corporation) agreed to indemnify Fairchild for remediation costs and other liabilities related to historical contamination at the facility.</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Hartford, Illinois</w:t>
      </w:r>
      <w:r>
        <w:rPr>
          <w:rFonts w:ascii="Times New Roman" w:cs="Times New Roman" w:eastAsia="Times New Roman" w:hAnsi="Times New Roman"/>
          <w:sz w:val="18"/>
          <w:szCs w:val="18"/>
          <w:color w:val="auto"/>
        </w:rPr>
        <w:t>. The Company was notified by the EPA that it has been identified as a PRP under the Comprehensive Environmental, Response, Compensation, and Liability Act in the Chemetco Superfund matter. Chemetco, a defunct reclamation services supplier that operated in Hartford, Illinois at what is now a Superfund site, has performed reclamation services for the Company in the past. The EPA is pursuing Chemetco customers for contribution to the site clean-up activities. The Company has joined a PRP group, which is cooperating with the EPA in the evaluation and funding of the clean-up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Contingencies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provides standby letters of credit or other guarantee instruments to certain parties initiated by either the Company or its subsidiaries, as required for transactions, including, but not limited to, material purchase commitments, agreements to mitigate collection risk, leases, utilities or customs guarantees. As of December 31, 2024, the Company's Revolving Credit Facility included $25.0 million available for the issuance of letters of credit. There were $0.9 million letters of credit outstanding under the Revolving Credit Facility as of December 31, 2024, which reduced the Company's borrowing capacity. The Company also had outstanding guarantees and letters of credit outside of its Revolving Credit Facility totaling $6.6 million as of December 31, 2024.</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obtaining financing in the ordinary course of business, the Company issued guarantees related to certain of its subsidiaries, which totaled $0.9 million as of December 31, 2024. Based on historical experience and information currently available, the Company believes that it will not be required to make payments under the standby letters of credit or guarantee arrangements for the foreseeable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Contingencies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party to a variety of agreements entered into in the ordinary course of business, including acquisition agreements, pursuant to which it may be obligated to indemnify the other parties for certain liabilities that arise out of or relate to the subject matter of the agreements. Some of the agreements entered into by the Company require it to indemnify the other party against losses due to IP infringement, property damage (including environmental contamination), personal injury, failure to comply with applicable laws, the Company’s negligence or willful misconduct or breach of representations and warranties and covenants related to such matters as title to sold assets. In the case of certain acquisition agreements, these agreements may require us to maintain such indemnification provisions for the acquiree’s directors, officers and other employees and agents, in certain cases for a number of years following the acquisition.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faces risk of exposure to warranty and product liability claims in the event that its products fail to perform as expected or such failure of its products results, or is alleged to result, in economic damage, bodily injury or property damage. In addition, if any of the Company’s designed products are alleged to be defective, the Company may be required to participate in their recall. Depending on the significance of any particular customer and other relevant factors, the Company may agree to provide more favorable rights to such customer for valid defective product claims.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provide for indemnification of directors, officers and other persons in accordance with limited liability company operating agreements, certificates of incorporation, by-laws, articles of association or similar organizational documents, as the case may be. 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Exchange Act. As permitted by the DGCL, the Company’s Amended and Restated Certificate of Incorporation (as amended, the "Certificate of Incorporation") contains provisions relating to the limitation of liability and indemnification of directors and officers. The Certificate of Incorporation eliminates the personal liability of each of the Company’s directors to the fullest extent permitted by Section 102(b)(7) of the DGCL, as it may be amended or supplemented, and provides that the Company will indemnify its directors and officers to the fullest extent permitted by Section 145 of the DGCL,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 form of agreement (the "Indemnification Agreement") provides, subject to certain exceptions and conditions specified in the Indemnification Agreement, that the Company will indemnify each indemnitee to the fullest extent permitted by Delaware law against all expenses, judgments, fines and amounts paid in settlement actually and reasonably incurred by such person in connection with a proceeding or claim in which such person is involved because of his or her status as one of the Company’s directors or executive officers. In addition, the Indemnification Agreement provides that the Company will, to the extent not prohibited by law and subject to certain exceptions and repayment conditions, advance specified indemnifiable expenses incurred by the indemnitee in connection with such proceeding or claim.</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maintains directors’ and officers’ insurance policies that indemnify its directors and officers against various liabilities, including certain liabilities under the Exchange Act, which might be incurred by any director or officer in his or her capacity as such.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Company’s future obligations under certain agreements may contain limitations on liability for indemnification, other agreements do not contain such limitations and under such agreements it is not possible to predict the maximum potential amount of future payments due to the conditional nature of the Company’s obligations and the unique facts and circumstances involved in each particular agreement. Historically, payments made by the Company under any of these indemnities have not had a material effect on the Company’s business, financial condition, results of operations or cash flows. Additionally, the Company does not believe that any amounts that it may be required to pay under these indemnities in the future will be material to the Company’s business, financial position, results of operations, or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Government Incentives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receives government incentives from U.S. federal and state governments and non-U.S. governments in the form of cash grants and tax abatements, which in most cases, attach conditions for a specific duration period, generally related to hiring, training and/or retaining employees, the construction or acquisition of assets and placing them in service or the development of specific technologies. If conditions are not satisfied or the duration period for the agreement is infringed, the incentives are subject to reduction, termination, or recapture.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relating to government incentives, $86.3 million and $2.4 million were included in other current assets and other non-current assets, respectively, substantially all of which represents the benefit of investment tax credits in excess of taxes payable. As December 31, 2024, $104.4 million was recorded as a net decrease to property, plant and equipment, net. Additionally, $10.8 million and $5.3 million were recorded as a reduction to cost of revenue and operating expenses, respectively, for the year ended December 31, 2024.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duration of the agreements for the incentives received by the Company in 2024 ranges from one to twenty years, with a recapture period that can extend up to ten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Government Incentives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relating to government incentives, $12.9 million and $5.2 million were included in other current assets and other non-current assets, respectively, representing the amounts receivable, $80.4 million was recorded as a net decrease to property, plant and equipment, net, and $83.6 million was recorded as a reduction to taxes payable included in accrued expenses and other current liabilities. Additionally, $5.1 million and $4.9 million were recorded as a reduction to cost of revenue and operating expenses, respectively, for the year ended December 31,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Government Incentives</w:t>
      </w: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received a nominal amount related to these programs. To the extent amounts have been received by the Company in advance of the completion of the conditions, they have been recorded as a liability.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From time to time, the Company is party to various legal proceedings arising in the ordinary course of business, including indemnification claims, claims of alleged infringement of patents, trademarks, copyrights and other IP rights, claims of alleged non-compliance with contract provisions and claims related to alleged violations of laws and regulations. The Company evaluates the status of the legal proceedings in which it is involved to assess whether a loss is reasonably estimable and either remote, reasonably possible or probable of occurring. The Company further evaluates each legal proceeding to assess whether an estimate of possible loss or range of possible loss can be made for disclosure purposes. Although litigation is inherently unpredictable, the Company believes that it has adequate provisions for any probable and reasonably estimable losses. However, the Company’s estimates may not represent its maximum possible exposure in any particular legal proceeding. Legal expenses related to defense, negotiations, settlements, rulings and advice of outside legal counsel are expensed as incurred.</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currently involved in a variety of legal matters that arise in the ordinary course of business. Based on information currently available, except as disclosed below (if any), the Company is not involved in any pending or threatened legal proceedings that it believes could reasonably be expected to have a material adverse effect on its financial condition, results of operations or liquidity. The litigation process is inherently uncertain, and the Company cannot guarantee that the outcome of any litigation matter will be favorable to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 and Derivative Litigation Concerning the Company's SiC Business</w:t>
      </w:r>
    </w:p>
    <w:p>
      <w:pPr>
        <w:spacing w:after="0" w:line="2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December 13, 2023, a putative class action captioned Hubacek v. On Semiconductor Corp., et al., Case No. 1:23-cv-01429 (D. Del.) ("Hubacek"), was filed by an alleged stockholder of the Company in the U.S. District Court for the District of Delaware against the Company and certain of its officers. This action was transferred to the U.S. District Court for the District of Arizona in March of 2024. The initial complaint asserted claims for alleged violation of Sections 10(b) and 20(a) of the Securities Exchange Act of 1934. The initial complaint alleged that the defendants made misleading statements regarding the Company's SiC business. An amended complaint was filed on May 31, 2024. The amended complaint again asserts claims for alleged violations of Sections 10(b) and 20(a) of the Securities Exchange Act of 1934. The plaintiff seeks a ruling that this case may proceed as a class action, and seeks damages, attorneys’ fees and costs. The Company filed a motion to dismiss the amended complaint on July 30, 2024. Upon reviewing the Company’s motion to dismiss the amended complaint, plaintiff deemed it necessary to further amend their complaint. On September 6, 2024, plaintiff filed their second amended complaint. The Company filed its motion to dismiss this second amended complaint on October 10, 2024. Full briefing for this motion to dismiss the second amended complaint was completed on December 20, 2024. The Company expects the court to make a ruling on this motion to dismiss in the first half of 2025. The Company believes that it has strong legal defenses to the claims asserted, and will vigorously defend them.</w:t>
      </w:r>
    </w:p>
    <w:p>
      <w:pPr>
        <w:spacing w:after="0" w:line="21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January 3, 2024, a purported stockholder derivative action captioned Silva v. El-Khoury, et al., Case No. 1:24-cv-00007 (D. Del.) ("Silva"), was filed by a purported stockholder of the Company in the U.S. District Court for the District of Delaware. On February 12, 2024, a purported stockholder derivative action captioned Smalley et al. v. El-Khoury et al. Case No. 1:24-cv-00183 (D. Del.) ("Smalley"), was filed by a purported stockholder of the Company in the U.S. District Court for the District of Delaware. Both aforementioned derivative actions, Silva and Smalley, were voluntarily dismissed without prejudice on April 15, 2024. On February 28, 2024, a purported stockholder derivative action captioned Mumme et al. v. El-Khoury et al. Case No. CV2024-003974 (D. AZ.) ("Mumme"), was filed by a purported stockholder of the Company in the Superior Court of the State of Arizona in and for the County of Maricopa and on March 15, 2024, a purported stockholder derivative action captioned Chan et al. v. Abe et al. Case No. 2:24-cv-00552 (D. AZ.) ("Chan"), was filed by a purported stockholder of the Company in the U.S. District Court for the District of Arizona. The allegations in these derivative complaints are substantially similar to the allegations in the securities class action complaint discussed above. The derivative suits purport to assert claims</w:t>
      </w:r>
    </w:p>
    <w:p>
      <w:pPr>
        <w:spacing w:after="0" w:line="5" w:lineRule="exact"/>
        <w:rPr>
          <w:sz w:val="20"/>
          <w:szCs w:val="20"/>
          <w:color w:val="auto"/>
        </w:rPr>
      </w:pPr>
    </w:p>
    <w:p>
      <w:pPr>
        <w:jc w:val="both"/>
        <w:ind w:firstLine="8"/>
        <w:spacing w:after="0"/>
        <w:tabs>
          <w:tab w:leader="none" w:pos="25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the Company against certain of its officers for contribution under the federal securities laws and (2) against all of the defendants for breach of fiduciary duty, aiding and abetting, unjust enrichment, abuse of control, gross mismanagement, and waste. The plaintiffs seek an award of damages, pre-judgment interest, punitive damages, attorneys’ fees, and other costs and expenses related to the litigation. The Company believes that the plaintiffs lack standing to assert claims on the Company’s behalf. These two pending derivative actions, Mumme and Chan, were stayed by court order, pending the resolution of Hubacek.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Matters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faces risk of exposure from claims of infringement of the IP rights of others. In the ordinary course of business, the Company receives letters asserting that the Company’s products or components breach another party’s rights. Such letters may request royalty payments from the Company, that the Company cease and desist using certain IP or other remedies.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fair value tier level hierarchy is used to determine fair values of financial instruments:</w:t>
      </w:r>
    </w:p>
    <w:p>
      <w:pPr>
        <w:spacing w:after="0" w:line="25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based on observable inputs that reflect quoted prices for identical assets or liabilities in active markets.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based on inputs other than quoted prices included in Level 1 that are observable for the asset or liability either directly or indirectly.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based on the use of unobservable inputs for the assets and liabilities and other types of analyses.</w:t>
      </w:r>
    </w:p>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cash and cash equivalents, which include money market funds and demand and time deposits, approximate fair value because of the short-term maturity of these instruments. The carrying amount of other current assets and liabilities, such as accounts receivable and accounts payable, approximates fair value due to the short-term maturity of the amounts, and such amounts are considered Level 2 in the fair value hierarchy.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held $300.0 million of short-term investments in time deposits and an insignificant amount of cash equivalents in the form of time deposits and money market funds as of December 31, 2024. The Company held an insignificant amount of investments in money market funds and no cash equivalents in the form of demand deposits or time deposits or investments in other assets as of December 31, 2023. Money market funds and demand deposits are classified as Level 1, while time deposits are classified as Level 2 within the fair value hierarchy.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 including Current Portion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fair value of the Company’s long-term borrowings were as follows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5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40" w:type="dxa"/>
            <w:vAlign w:val="bottom"/>
          </w:tcPr>
          <w:p>
            <w:pPr>
              <w:spacing w:after="0"/>
              <w:rPr>
                <w:sz w:val="18"/>
                <w:szCs w:val="18"/>
                <w:color w:val="auto"/>
              </w:rPr>
            </w:pPr>
          </w:p>
        </w:tc>
        <w:tc>
          <w:tcPr>
            <w:tcW w:w="118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40" w:type="dxa"/>
            <w:vAlign w:val="bottom"/>
          </w:tcPr>
          <w:p>
            <w:pPr>
              <w:spacing w:after="0"/>
              <w:rPr>
                <w:sz w:val="18"/>
                <w:szCs w:val="18"/>
                <w:color w:val="auto"/>
              </w:rPr>
            </w:pPr>
          </w:p>
        </w:tc>
        <w:tc>
          <w:tcPr>
            <w:tcW w:w="12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5200" w:type="dxa"/>
            <w:vAlign w:val="bottom"/>
            <w:tcBorders>
              <w:top w:val="single" w:sz="8" w:color="CCEEFF"/>
            </w:tcBorders>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19"/>
                <w:szCs w:val="19"/>
                <w:color w:val="auto"/>
              </w:rPr>
            </w:pP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30"/>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0.50% Notes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w:t>
            </w:r>
          </w:p>
        </w:tc>
      </w:tr>
      <w:tr>
        <w:trPr>
          <w:trHeight w:val="230"/>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 Notes</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w:t>
            </w:r>
          </w:p>
        </w:tc>
      </w:tr>
      <w:tr>
        <w:trPr>
          <w:trHeight w:val="230"/>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3.875% Notes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w:t>
            </w:r>
          </w:p>
        </w:tc>
      </w:tr>
    </w:tbl>
    <w:p>
      <w:pPr>
        <w:spacing w:after="0" w:line="276" w:lineRule="exact"/>
        <w:rPr>
          <w:sz w:val="20"/>
          <w:szCs w:val="20"/>
          <w:color w:val="auto"/>
        </w:rPr>
      </w:pPr>
    </w:p>
    <w:p>
      <w:pPr>
        <w:ind w:left="480" w:hanging="472"/>
        <w:spacing w:after="0"/>
        <w:tabs>
          <w:tab w:leader="none" w:pos="48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Long-term debt is carried on the Consolidated Balance Sheets at historical cost net of debt discount and issuance costs.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0% Notes, 0.50% Notes and 3.875% Notes was estimated based on market prices in active markets (Level 1), and the Revolving Credit Facility was estimated based on discounting the remaining principal and interest payments using current market rates for similar debt (Level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Measured on a Non-Recurring Basis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such as property, plant and equipment, goodwill and intangible assets, are recorded at fair value upon a business combination and are remeasured at fair value only if an impairment charge is recognized. The Company uses unobservable inputs to the valuation methodologies that are significant to the fair value measurements, and the valuations require management's judgment due to the absence of quoted market prices. The Company determines the fair value of its held and used assets, goodwill and intangible assets using an income, cost or market approach as determined reasonable.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there were no non-financial assets included in the Company's Consolidated Balance Sheet that were remeasured at fair value on a non-recurring basis. The following table shows the adjustments to fair value of certain of the Company's non-financial assets that had an impact on the Company's results of operations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Nonrecurring fair value measurements:</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impairments (Level 3)</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Intangibles impairment (Level 3)</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0"/>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Asset impairments (Level 3)</w:t>
            </w: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8"/>
        </w:trPr>
        <w:tc>
          <w:tcPr>
            <w:tcW w:w="6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multinational business, the Company's transactions are denominated in a variety of currencies. When appropriate, the Company uses forward foreign currency contracts to reduce its overall exposure to the effects of currency fluctuations on its results of operations and cash flows. The Company's policy prohibits trading in currencies for which there are no underlying exposures and entering into trades for any currency to intentionally increase the underlying exposure. The Company primarily hedges existing assets and liabilities associated with transactions currently on its balance sheet, which are undesignated hedges for accounting purposes.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had outstanding foreign exchange contracts with notional amounts of $256.8 million and $262.2 million, respectively. Such contracts were obtained through financial institutions and were scheduled to mature within two months from the time of purchase. Management believes that these financial instruments should not subject the Company to increased risks from foreign exchange movements because gains and losses on these contracts should offset gains and losses on the underlying assets, liabilities and transactions to which they are related.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schedule summarizes the Company's net foreign exchange positions in U.S. dollars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1"/>
        </w:trPr>
        <w:tc>
          <w:tcPr>
            <w:tcW w:w="5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12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20" w:type="dxa"/>
            <w:vAlign w:val="bottom"/>
            <w:tcBorders>
              <w:bottom w:val="single" w:sz="8" w:color="auto"/>
            </w:tcBorders>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Buy (Sell)</w:t>
            </w:r>
          </w:p>
        </w:tc>
        <w:tc>
          <w:tcPr>
            <w:tcW w:w="10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Buy (Sell)</w:t>
            </w:r>
          </w:p>
        </w:tc>
        <w:tc>
          <w:tcPr>
            <w:tcW w:w="12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9"/>
              </w:rPr>
              <w:t>Notional Amount</w:t>
            </w:r>
          </w:p>
        </w:tc>
      </w:tr>
      <w:tr>
        <w:trPr>
          <w:trHeight w:val="22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Czech Koruna</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currencies - Buy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currencies - Sell</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receivable or payable under the contracts were not material as of December 31, 2024 and 2023, and are included in other current assets or accrued expenses and other current liabilities in the accompanying Consolidated Balance Sheets. Realized and unrealized foreign currency transactions totaled a gain of $0.9 million for the year ended December 31, 2024 and a loss of $7.9 million and $0.7 million for the years ended December 31, 2023 and 2022, respectively. The realized and unrealized foreign currency transactions are included in other income (expense) in the Company's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the Company entered into foreign currency forward contracts to hedge its exposure to foreign currency exchange rate risk related to future forecasted transactions denominated in certain currencies other than the U.S. dollar. These contracts generally mature within 12 months and are designated as cash flow hedges for accounting purposes.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notional value of outstanding foreign currency forward contracts designated as cash flow hedges was $145.1 million and $92.2 million, respectively, with a fair value of $8.2 million recorded as accrued expenses and other current liabilities for 2024 and $0.9 million recorded as other current assets for 2023. A loss of $10.0 million and $0.1 million was recognized as a component of cost of revenue for the years ended December 31, 2024 and 2023, respectively. The Company did not identify any ineffectiveness with respect to the notional amounts of the foreign currency forward contracts effective as of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the Company terminated its interest rate swap agreements with a notional value of $500 million, received cash proceeds of $27.7 million, net of termination fees, and recognized $6.9 million of other income related to the termination. At the time of termination, approximately $20.7 million was recorded in accumulated other comprehensive loss, of which $11.9 million and $6.9 million were subsequently recognized as other income during the years ended December 31, 2024 and 2023, respectively, with the remaining portion recognized as part of the loss on debt refinancing and prepayment during 2023.</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17: ''Changes in Accumulated Other Comprehensive Loss'' for the effective amounts related to derivative instruments designated as cash flow hedges affecting accumulated other comprehensive loss and the Consolidated Statements of Operations and Comprehensive Income for the year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Hedges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entered into convertible note hedges in connection with the issuance of the 0% Notes, 0.50% Notes and 1.625% Notes. See Note 9: ''Long-Term Debt'' for more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no outstanding commodity derivatives, currency swaps, options or equity investments held at subsidiaries or affiliated companies. The Company does not hedge the value of its equity investments in its subsidiaries or affiliated companies.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credit-related losses if its hedge counterparties fail to perform their obligations. As of December 31, 2024, the counterparties to the Company's hedge contracts were held at financial institutions which the Company believes to be highly rated, and no credit-related losses are anticipated.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geographic sources of income before income taxes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1,979.8</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provision for income taxes was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6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23"/>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local</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3"/>
        </w:trPr>
        <w:tc>
          <w:tcPr>
            <w:tcW w:w="67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was as follows:</w:t>
      </w:r>
    </w:p>
    <w:p>
      <w:pPr>
        <w:spacing w:after="0" w:line="10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2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7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derived intangible income benefit</w:t>
            </w:r>
          </w:p>
        </w:tc>
        <w:tc>
          <w:tcPr>
            <w:tcW w:w="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7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Nondeductible goodwill</w:t>
            </w:r>
          </w:p>
        </w:tc>
        <w:tc>
          <w:tcPr>
            <w:tcW w:w="1620" w:type="dxa"/>
            <w:vAlign w:val="bottom"/>
            <w:gridSpan w:val="3"/>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4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Change in valuation allowance and related effects </w:t>
            </w:r>
            <w:r>
              <w:rPr>
                <w:rFonts w:ascii="Times New Roman" w:cs="Times New Roman" w:eastAsia="Times New Roman" w:hAnsi="Times New Roman"/>
                <w:sz w:val="23"/>
                <w:szCs w:val="23"/>
                <w:color w:val="auto"/>
                <w:vertAlign w:val="superscript"/>
              </w:rPr>
              <w:t>(1)</w:t>
            </w:r>
          </w:p>
        </w:tc>
        <w:tc>
          <w:tcPr>
            <w:tcW w:w="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Share-based compensation costs</w:t>
            </w: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federal R&amp;D credit</w:t>
            </w:r>
          </w:p>
        </w:tc>
        <w:tc>
          <w:tcPr>
            <w:tcW w:w="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Impact of audit settlement</w:t>
            </w:r>
          </w:p>
        </w:tc>
        <w:tc>
          <w:tcPr>
            <w:tcW w:w="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74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500" w:hanging="492"/>
        <w:spacing w:after="0" w:line="230" w:lineRule="auto"/>
        <w:tabs>
          <w:tab w:leader="none" w:pos="488"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 ended December 31, 2024, this included a benefit of $7.5 million, or 0.4% related to the decrease in the valuation allowance for the expiration of Japan net operating losses ("NOLs"), partially netted with an offsetting expense of $6.2 million or 0.3% related to the expiration of those same Japan NOLs. For the year ended December 31, 2023, this included a benefit of $13.7 million, or 0.5% related to a decrease in the valuation allowance for the expiration of Japan NOLs, partially netted with an offsetting expense of $15.3 million or 0.6% related to the expiration of those same Japan NOLs. For the year ended December 31, 2022, this included a benefit of $55.6 million, or 2.4% related to a decrease in the valuation allowance for the expiration of Japan NOLs, partially netted with an offsetting expense of $54.3 million, or 2.3% related to the expiration of those same Japan NOLs.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effects of temporary differences in the recognition of income and expense for tax and financial reporting purposes that give rise to significant portions of the net deferred tax asset (liability) were as follows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40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60" w:type="dxa"/>
            <w:vAlign w:val="bottom"/>
            <w:tcBorders>
              <w:bottom w:val="single" w:sz="8" w:color="auto"/>
            </w:tcBorders>
          </w:tcPr>
          <w:p>
            <w:pPr>
              <w:spacing w:after="0"/>
              <w:rPr>
                <w:sz w:val="18"/>
                <w:szCs w:val="18"/>
                <w:color w:val="auto"/>
              </w:rPr>
            </w:pPr>
          </w:p>
        </w:tc>
      </w:tr>
      <w:tr>
        <w:trPr>
          <w:trHeight w:val="211"/>
        </w:trPr>
        <w:tc>
          <w:tcPr>
            <w:tcW w:w="82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 and tax credit carryforwards</w:t>
            </w:r>
          </w:p>
        </w:tc>
        <w:tc>
          <w:tcPr>
            <w:tcW w:w="8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163 (j) interest expense carryforward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Tax-deductible goodwill and amortizable intangibles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research and development expenses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and accruals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(122.1)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(165.1)</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of foreign subsidiaries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and liabilities before valuation allowance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w:t>
            </w:r>
          </w:p>
        </w:tc>
      </w:tr>
      <w:tr>
        <w:trPr>
          <w:trHeight w:val="229"/>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(216.2)</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(150.3)</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has investment tax credits, which are accounted for pursuant to ASC 740, in Korea and the Czech Republic. The Company uses the deferral method of accounting for investment tax credits under which the credits are recognized as reductions in the carrying value of the related assets. Deferred tax related to differences in GAAP versus tax carrying value is recorded pursuant to the gross-up method. Further, the Company analyzes the need for a valuation allowance related to these credits, and as of December 31, 2024, the Company recorded a partial valuation of $67.9 million against the Korea investment tax credits forecasted to expire unutilized. See Schedule II - "Valuation and Qualifying Accounts" included elsewhere in this Form 10-K.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 had approximately $4.4 million and $22.2 million, respectively, of U.S. federal NOL carryforwards, before the impact of unrecognized tax benefits. The decrease is due to current year utilization. These NOL carryforwards can be carried forward indefinitely until utilized. As of December 31, 2024 and 2023, the Company had approximately $0.5 million and $6.6 million, respectively, of U.S. federal credit carryforwards, before consideration of the impact of unrecognized tax benefits and the valuation allowance. The credits will expire in 2033 if unutilized. These NOL and credit carryforwards relate to acquisitions and, consequently, are limited in the amount that can be utilized in any one year.</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 had approximately $245.7 million and $273.3 million, respectively, of U.S. state NOL carryforwards, before consideration of valuation allowance or the impact of unrecognized tax benefits. The decrease is primarily due to current year utilization. The U.S. state NOL carryforwards will expire in varying amounts from 2025 to 2041, if unutilized. As of December 31, 2024 and 2023, the Company had $110.2 million and $111.8 million, respectively, of U.S. state credit carryforwards before consideration of valuation allowance or the impact of unrecognized tax benefits. The U.S. state credits will expire in varying amounts beginning in 2025 while a substantial amount of the state credits carryforward indefinitely.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 Company had approximately $244.1 million and $232.3 million, respectively, of foreign NOL carryforwards, before consideration of valuation allowance. The increase is primarily due to generation of NOLs. As of December 31, 2024 and 2023, the Company had $157.6 million and $93.5 million, respectively, of foreign credit carryforwards before consideration of valuation allowance. A significant portion of the foreign NOLs and credit carryforwards will expire in varying amounts prior to 2035, if unutilized.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a partial valuation allowance of $90.9 million, net of federal benefit on its U.S. state deferred tax assets, primarily NOLs and credits. The remaining valuation allowance of $125.3 million primarily relates to NOLs and tax</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credits in certain other foreign jurisdictions that primarily expire in 2025.</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was not indefinitely reinvested with respect to the earnings of its foreign subsidiaries and has therefore accrued withholding taxes that would be owed upon future distributions of such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for unrecognized gross tax benefits was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for tax benefits related to the current year</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for tax benefits of prior years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Reductions for tax benefits of prior years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Lapse of statute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Settlements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Included in the December 31, 2024 balance of $45.7 million is $38.5 million related to unrecognized tax benefits that, if recognized, would affect the annual effective tax rate. Also included in the balance of unrecognized tax benefits as of December 31, 2024 is $7.2 million of benefit that, if recognized, would result in adjustments to other tax accounts, primarily deferred taxes. Although the Company cannot predict the timing of resolution with taxing authorities, if any, the Company believes it is reasonably possible that its unrecognized tax benefits will be reduced by $3.8 million in the next 12 months due to settlement with tax authorities or expiration of the applicable statute of limitations.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accrued related to uncertain tax positions in tax expense in the Consolidated Statements of Operations and Comprehensive Income. The Company recognized approximately $1.6 million of net tax expense, $0.8 million of net tax benefit and $1.4 million of tax expense for interest and penalties during the year ended December 31, 2024, 2023 and 2022, respectively. The Company had approximately $3.6 million, $2.0 million, and $2.7 million of accrued interest and penalties as of December 31, 2024, 2023, and 2022, respectively.</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currently under IRS examination for the 2022 and 2023 tax years. Tax years prior to 2021 are generally not subject to examination by the IRS. For state tax returns, the Company is generally not subject to income tax examinations for tax years prior to 2020. With respect to jurisdictions outside the United States, the Company is generally not subject to examination for tax years prior to 2014.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Changes in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comprising the Company's accumulated other comprehensive loss and reclassifications were as follows (in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Effects of Cash</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Flow Hedges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prior to reclassifications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Net current period other comprehensive loss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3"/>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prior to reclassifications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Net current period other comprehensive loss </w:t>
            </w:r>
            <w:r>
              <w:rPr>
                <w:rFonts w:ascii="Times New Roman" w:cs="Times New Roman" w:eastAsia="Times New Roman" w:hAnsi="Times New Roman"/>
                <w:sz w:val="23"/>
                <w:szCs w:val="23"/>
                <w:color w:val="auto"/>
                <w:vertAlign w:val="superscript"/>
              </w:rPr>
              <w:t>(1)</w:t>
            </w:r>
          </w:p>
        </w:tc>
        <w:tc>
          <w:tcPr>
            <w:tcW w:w="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500" w:right="20" w:hanging="492"/>
        <w:spacing w:after="0" w:line="229" w:lineRule="auto"/>
        <w:tabs>
          <w:tab w:leader="none" w:pos="488"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Effects of cash flow hedges are net of $2.0 million of tax benefit and $0.2 million of tax expense for the years ended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to the specific caption within the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were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 caption</w:t>
            </w:r>
          </w:p>
        </w:tc>
        <w:tc>
          <w:tcPr>
            <w:tcW w:w="0" w:type="dxa"/>
            <w:vAlign w:val="bottom"/>
          </w:tcPr>
          <w:p>
            <w:pPr>
              <w:spacing w:after="0"/>
              <w:rPr>
                <w:sz w:val="1"/>
                <w:szCs w:val="1"/>
                <w:color w:val="auto"/>
              </w:rPr>
            </w:pPr>
          </w:p>
        </w:tc>
      </w:tr>
      <w:tr>
        <w:trPr>
          <w:trHeight w:val="225"/>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940" w:type="dxa"/>
            <w:vAlign w:val="bottom"/>
            <w:tcBorders>
              <w:top w:val="single" w:sz="8" w:color="auto"/>
            </w:tcBorders>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terminations</w:t>
            </w:r>
          </w:p>
        </w:tc>
        <w:tc>
          <w:tcPr>
            <w:tcW w:w="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0" w:type="dxa"/>
            <w:vAlign w:val="bottom"/>
          </w:tcPr>
          <w:p>
            <w:pPr>
              <w:spacing w:after="0"/>
              <w:rPr>
                <w:sz w:val="1"/>
                <w:szCs w:val="1"/>
                <w:color w:val="auto"/>
              </w:rPr>
            </w:pPr>
          </w:p>
        </w:tc>
      </w:tr>
      <w:tr>
        <w:trPr>
          <w:trHeight w:val="223"/>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gridSpan w:val="2"/>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bottom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18: Supplemental Disclosures</w:t>
            </w: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7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 of Cash Flow Information</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Certain of the Company's cash and non-cash activities were as follows (in millions):</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9"/>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 in accounts payable and other long-term liabilities</w:t>
            </w:r>
          </w:p>
        </w:tc>
        <w:tc>
          <w:tcPr>
            <w:tcW w:w="94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6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ROU assets obtained in exchange of lease liabilities</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ROU assets obtained in exchange of lease liabilities</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 due to seller in connection with the EFK acquisition</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gridSpan w:val="2"/>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6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taxes</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0" w:type="dxa"/>
            <w:vAlign w:val="bottom"/>
          </w:tcPr>
          <w:p>
            <w:pPr>
              <w:spacing w:after="0"/>
              <w:rPr>
                <w:sz w:val="1"/>
                <w:szCs w:val="1"/>
                <w:color w:val="auto"/>
              </w:rPr>
            </w:pPr>
          </w:p>
        </w:tc>
      </w:tr>
      <w:tr>
        <w:trPr>
          <w:trHeight w:val="234"/>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payments in operating cash flows</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reconciliation of the captions in the Consolidated Balance Sheets to the Consolidated Statements of Cash Flows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10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2,919.0</w:t>
            </w:r>
          </w:p>
        </w:tc>
      </w:tr>
      <w:tr>
        <w:trPr>
          <w:trHeight w:val="23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in Consolidated Statements of Cash Flows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2,933.0</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14, 2025, the Company completed the acquisition of the Silicon Carbide Junction Field-Effect Transistor ("SiC JFET") technology business from Qorvo US, Inc., and certain of its subsidiaries, for $118.8 million in cash, subject to working capital adjustments. The acquired SiC JFET technology expands the Company's EliteSiC power portfolio within the PSG reportable segment and enables the Company to help address the need for high energy efficiency and power density in the AC-DC stage in power supply units for AI data centers. Due to the timing of the transaction, a preliminary allocation of the purchase consideration to the assets acquired and liabilities assumed could not be provided, and is expected to be completed by the end of the first fiscal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SEMICONDUCTOR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activity of the valuation allowance against assets for the years ended December 31, 2024, 2023 and 2022 (in millions):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Charged (Credited)</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Charged to Other</w:t>
            </w:r>
          </w:p>
        </w:tc>
        <w:tc>
          <w:tcPr>
            <w:tcW w:w="340" w:type="dxa"/>
            <w:vAlign w:val="bottom"/>
          </w:tcPr>
          <w:p>
            <w:pPr>
              <w:spacing w:after="0"/>
              <w:rPr>
                <w:sz w:val="16"/>
                <w:szCs w:val="16"/>
                <w:color w:val="auto"/>
              </w:rPr>
            </w:pP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Deductions/Write-</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Balance at End</w:t>
            </w:r>
          </w:p>
        </w:tc>
        <w:tc>
          <w:tcPr>
            <w:tcW w:w="0" w:type="dxa"/>
            <w:vAlign w:val="bottom"/>
          </w:tcPr>
          <w:p>
            <w:pPr>
              <w:spacing w:after="0"/>
              <w:rPr>
                <w:sz w:val="1"/>
                <w:szCs w:val="1"/>
                <w:color w:val="auto"/>
              </w:rPr>
            </w:pPr>
          </w:p>
        </w:tc>
      </w:tr>
      <w:tr>
        <w:trPr>
          <w:trHeight w:val="162"/>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660" w:type="dxa"/>
            <w:vAlign w:val="bottom"/>
            <w:gridSpan w:val="3"/>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to Income</w:t>
            </w:r>
          </w:p>
        </w:tc>
        <w:tc>
          <w:tcPr>
            <w:tcW w:w="220" w:type="dxa"/>
            <w:vAlign w:val="bottom"/>
          </w:tcPr>
          <w:p>
            <w:pPr>
              <w:spacing w:after="0"/>
              <w:rPr>
                <w:sz w:val="18"/>
                <w:szCs w:val="18"/>
                <w:color w:val="auto"/>
              </w:rPr>
            </w:pP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offs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of Period</w:t>
            </w:r>
          </w:p>
        </w:tc>
        <w:tc>
          <w:tcPr>
            <w:tcW w:w="0" w:type="dxa"/>
            <w:vAlign w:val="bottom"/>
          </w:tcPr>
          <w:p>
            <w:pPr>
              <w:spacing w:after="0"/>
              <w:rPr>
                <w:sz w:val="1"/>
                <w:szCs w:val="1"/>
                <w:color w:val="auto"/>
              </w:rPr>
            </w:pPr>
          </w:p>
        </w:tc>
      </w:tr>
      <w:tr>
        <w:trPr>
          <w:trHeight w:val="225"/>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Allowance for deferred tax assets</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8"/>
              <w:spacing w:after="0" w:line="230" w:lineRule="exact"/>
              <w:rPr>
                <w:sz w:val="20"/>
                <w:szCs w:val="20"/>
                <w:color w:val="auto"/>
              </w:rPr>
            </w:pPr>
            <w:r>
              <w:rPr>
                <w:rFonts w:ascii="Times New Roman" w:cs="Times New Roman" w:eastAsia="Times New Roman" w:hAnsi="Times New Roman"/>
                <w:sz w:val="17"/>
                <w:szCs w:val="17"/>
                <w:color w:val="auto"/>
              </w:rPr>
              <w:t xml:space="preserve">(16.7) </w:t>
            </w:r>
            <w:r>
              <w:rPr>
                <w:rFonts w:ascii="Times New Roman" w:cs="Times New Roman" w:eastAsia="Times New Roman" w:hAnsi="Times New Roman"/>
                <w:sz w:val="26"/>
                <w:szCs w:val="26"/>
                <w:color w:val="auto"/>
                <w:vertAlign w:val="superscript"/>
              </w:rPr>
              <w:t>(1)</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7"/>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34"/>
        </w:trPr>
        <w:tc>
          <w:tcPr>
            <w:tcW w:w="3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7"/>
              </w:rPr>
              <w:t>(3)</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480" w:hanging="472"/>
        <w:spacing w:after="0"/>
        <w:tabs>
          <w:tab w:leader="none" w:pos="480"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represents the effects of cumulative translation adjustments.</w:t>
      </w:r>
    </w:p>
    <w:p>
      <w:pPr>
        <w:spacing w:after="0" w:line="55" w:lineRule="exact"/>
        <w:rPr>
          <w:rFonts w:ascii="Times New Roman" w:cs="Times New Roman" w:eastAsia="Times New Roman" w:hAnsi="Times New Roman"/>
          <w:sz w:val="23"/>
          <w:szCs w:val="23"/>
          <w:color w:val="auto"/>
          <w:vertAlign w:val="superscript"/>
        </w:rPr>
      </w:pPr>
    </w:p>
    <w:p>
      <w:pPr>
        <w:ind w:left="500" w:right="20" w:hanging="492"/>
        <w:spacing w:after="0" w:line="219" w:lineRule="auto"/>
        <w:tabs>
          <w:tab w:leader="none" w:pos="48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the expiration of Japan net operating losses. See Note 16: ''Income Taxes'' in the notes to our audited consolidated financial statements included elsewhere in this Form 10-K.</w:t>
      </w:r>
    </w:p>
    <w:p>
      <w:pPr>
        <w:spacing w:after="0" w:line="35" w:lineRule="exact"/>
        <w:rPr>
          <w:rFonts w:ascii="Times New Roman" w:cs="Times New Roman" w:eastAsia="Times New Roman" w:hAnsi="Times New Roman"/>
          <w:sz w:val="23"/>
          <w:szCs w:val="23"/>
          <w:color w:val="auto"/>
          <w:vertAlign w:val="superscript"/>
        </w:rPr>
      </w:pPr>
    </w:p>
    <w:p>
      <w:pPr>
        <w:jc w:val="both"/>
        <w:ind w:left="500" w:hanging="492"/>
        <w:spacing w:after="0" w:line="239" w:lineRule="auto"/>
        <w:tabs>
          <w:tab w:leader="none" w:pos="488" w:val="left"/>
        </w:tabs>
        <w:numPr>
          <w:ilvl w:val="0"/>
          <w:numId w:val="4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relates to the valuation allowance recorded against Korea Investment Tax Credits, accounted for under the deferral method. The benefit of the ITC was recognized as a reduction in the carrying value of the related assets. In addition to the ITC, this amount was partially offset by cumulative translation adjustments. See Note 16: ''Income Taxes'' in the notes to our audited consolidated financial statements included elsewhere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10.3(j)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19685</wp:posOffset>
            </wp:positionV>
            <wp:extent cx="1234440" cy="436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123444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RESTRICTED STOCK UNITS</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(Non-Employee Directors with ________ Deferral Election)</w:t>
      </w:r>
    </w:p>
    <w:p>
      <w:pPr>
        <w:spacing w:after="0" w:line="234" w:lineRule="exact"/>
        <w:rPr>
          <w:sz w:val="20"/>
          <w:szCs w:val="20"/>
          <w:color w:val="auto"/>
        </w:rPr>
      </w:pPr>
    </w:p>
    <w:p>
      <w:pPr>
        <w:ind w:firstLine="227"/>
        <w:spacing w:after="0" w:line="296" w:lineRule="auto"/>
        <w:rPr>
          <w:sz w:val="20"/>
          <w:szCs w:val="20"/>
          <w:color w:val="auto"/>
        </w:rPr>
      </w:pPr>
      <w:r>
        <w:rPr>
          <w:rFonts w:ascii="Arial" w:cs="Arial" w:eastAsia="Arial" w:hAnsi="Arial"/>
          <w:sz w:val="18"/>
          <w:szCs w:val="18"/>
          <w:color w:val="auto"/>
        </w:rPr>
        <w:t>Congratulations! You have been granted an Award of Restricted Stock Units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xml:space="preserve">”) by </w:t>
      </w:r>
      <w:r>
        <w:rPr>
          <w:rFonts w:ascii="Arial" w:cs="Arial" w:eastAsia="Arial" w:hAnsi="Arial"/>
          <w:sz w:val="18"/>
          <w:szCs w:val="18"/>
          <w:b w:val="1"/>
          <w:bCs w:val="1"/>
          <w:i w:val="1"/>
          <w:iCs w:val="1"/>
          <w:color w:val="auto"/>
        </w:rPr>
        <w:t>onsemi</w:t>
      </w:r>
      <w:r>
        <w:rPr>
          <w:rFonts w:ascii="Arial" w:cs="Arial" w:eastAsia="Arial" w:hAnsi="Arial"/>
          <w:sz w:val="18"/>
          <w:szCs w:val="18"/>
          <w:color w:val="auto"/>
        </w:rPr>
        <w:t xml:space="preserve"> under the Amended and Restated Stock Incentive Plan (as it may be amended and in effect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NUMBER OF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jc w:val="both"/>
        <w:ind w:left="80" w:right="60"/>
        <w:spacing w:after="0" w:line="255" w:lineRule="auto"/>
        <w:rPr>
          <w:sz w:val="20"/>
          <w:szCs w:val="20"/>
          <w:color w:val="auto"/>
        </w:rPr>
      </w:pPr>
      <w:r>
        <w:rPr>
          <w:rFonts w:ascii="Arial" w:cs="Arial" w:eastAsia="Arial" w:hAnsi="Arial"/>
          <w:sz w:val="18"/>
          <w:szCs w:val="18"/>
          <w:color w:val="auto"/>
        </w:rPr>
        <w:t>Each Unit represents the right to receive one share of common stock of ON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provided that you remained employed with the Company and its affiliates through the applicable vesting date below and subject to all the other terms and conditions of this Notice of Grant of Restricted Stock Units (this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xml:space="preserve">”), the restricted stock unit award agreement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the Plan, and, if applicable and timely submitted, the onsemi Stock Election and Deferral Plan (the “</w:t>
      </w:r>
      <w:r>
        <w:rPr>
          <w:rFonts w:ascii="Arial" w:cs="Arial" w:eastAsia="Arial" w:hAnsi="Arial"/>
          <w:sz w:val="18"/>
          <w:szCs w:val="18"/>
          <w:b w:val="1"/>
          <w:bCs w:val="1"/>
          <w:i w:val="1"/>
          <w:iCs w:val="1"/>
          <w:color w:val="auto"/>
        </w:rPr>
        <w:t>Deferral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your participation agreement electing to defer receipt of some or all of the shares of Stock underlying the Award (together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Notice, Award Agreement, Plan and Deferral Plan, the “</w:t>
      </w:r>
      <w:r>
        <w:rPr>
          <w:rFonts w:ascii="Arial" w:cs="Arial" w:eastAsia="Arial" w:hAnsi="Arial"/>
          <w:sz w:val="18"/>
          <w:szCs w:val="18"/>
          <w:b w:val="1"/>
          <w:bCs w:val="1"/>
          <w:i w:val="1"/>
          <w:iCs w:val="1"/>
          <w:color w:val="auto"/>
        </w:rPr>
        <w:t>Award Documents</w:t>
      </w:r>
      <w:r>
        <w:rPr>
          <w:rFonts w:ascii="Arial" w:cs="Arial" w:eastAsia="Arial" w:hAnsi="Arial"/>
          <w:sz w:val="18"/>
          <w:szCs w:val="18"/>
          <w:color w:val="auto"/>
        </w:rPr>
        <w:t>”). Except as otherwise provided in the Award Documents, if your service relationship ends prior to the full vesting of your Award, any unvested Units will be forfeited automatically as of your last day of service. All capitalized terms used but not defined in this Notice have the meanings ascribed to them in the Plan or the Award Agreement. Additional terms of your Award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GRANT NUMBER:</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16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GRANT DATE:</w:t>
            </w:r>
          </w:p>
        </w:tc>
        <w:tc>
          <w:tcPr>
            <w:tcW w:w="6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160" w:type="dxa"/>
            <w:vAlign w:val="bottom"/>
          </w:tcPr>
          <w:p>
            <w:pPr>
              <w:ind w:left="80"/>
              <w:spacing w:after="0"/>
              <w:rPr>
                <w:sz w:val="20"/>
                <w:szCs w:val="20"/>
                <w:color w:val="auto"/>
              </w:rPr>
            </w:pPr>
            <w:r>
              <w:rPr>
                <w:rFonts w:ascii="Arial" w:cs="Arial" w:eastAsia="Arial" w:hAnsi="Arial"/>
                <w:sz w:val="18"/>
                <w:szCs w:val="18"/>
                <w:b w:val="1"/>
                <w:bCs w:val="1"/>
                <w:color w:val="auto"/>
              </w:rPr>
              <w:t>VESTING DATE:</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one day prior to the Company’s</w:t>
            </w:r>
          </w:p>
        </w:tc>
        <w:tc>
          <w:tcPr>
            <w:tcW w:w="5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7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700" w:type="dxa"/>
            <w:vAlign w:val="bottom"/>
            <w:tcBorders>
              <w:bottom w:val="single" w:sz="8" w:color="auto"/>
            </w:tcBorders>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160" w:type="dxa"/>
            <w:vAlign w:val="bottom"/>
          </w:tcPr>
          <w:p>
            <w:pPr>
              <w:spacing w:after="0"/>
              <w:rPr>
                <w:sz w:val="17"/>
                <w:szCs w:val="17"/>
                <w:color w:val="auto"/>
              </w:rPr>
            </w:pPr>
          </w:p>
        </w:tc>
        <w:tc>
          <w:tcPr>
            <w:tcW w:w="35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w w:val="99"/>
              </w:rPr>
              <w:t>_______ Annual Meeting of Stockholders</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80" w:type="dxa"/>
            <w:vAlign w:val="bottom"/>
            <w:gridSpan w:val="3"/>
          </w:tcPr>
          <w:p>
            <w:pPr>
              <w:jc w:val="right"/>
              <w:ind w:right="520"/>
              <w:spacing w:after="0" w:line="196" w:lineRule="exact"/>
              <w:rPr>
                <w:sz w:val="20"/>
                <w:szCs w:val="20"/>
                <w:color w:val="auto"/>
              </w:rPr>
            </w:pPr>
            <w:r>
              <w:rPr>
                <w:rFonts w:ascii="Arial" w:cs="Arial" w:eastAsia="Arial" w:hAnsi="Arial"/>
                <w:sz w:val="18"/>
                <w:szCs w:val="18"/>
                <w:b w:val="1"/>
                <w:bCs w:val="1"/>
                <w:color w:val="auto"/>
                <w:w w:val="99"/>
              </w:rPr>
              <w:t>but no later than _______________</w:t>
            </w:r>
          </w:p>
        </w:tc>
        <w:tc>
          <w:tcPr>
            <w:tcW w:w="0" w:type="dxa"/>
            <w:vAlign w:val="bottom"/>
          </w:tcPr>
          <w:p>
            <w:pPr>
              <w:spacing w:after="0"/>
              <w:rPr>
                <w:sz w:val="1"/>
                <w:szCs w:val="1"/>
                <w:color w:val="auto"/>
              </w:rPr>
            </w:pPr>
          </w:p>
        </w:tc>
      </w:tr>
      <w:tr>
        <w:trPr>
          <w:trHeight w:val="155"/>
        </w:trPr>
        <w:tc>
          <w:tcPr>
            <w:tcW w:w="7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700" w:type="dxa"/>
            <w:vAlign w:val="bottom"/>
            <w:tcBorders>
              <w:top w:val="single" w:sz="8" w:color="auto"/>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Please confirm your acceptance of this Award by signing below or, in the case of a Notice provided to you in electronic format, by following the instructions below:</w:t>
      </w:r>
    </w:p>
    <w:p>
      <w:pPr>
        <w:spacing w:after="0" w:line="180" w:lineRule="exact"/>
        <w:rPr>
          <w:sz w:val="20"/>
          <w:szCs w:val="20"/>
          <w:color w:val="auto"/>
        </w:rPr>
      </w:pPr>
    </w:p>
    <w:p>
      <w:pPr>
        <w:ind w:left="680" w:hanging="348"/>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Log in to your E*TRADE stock plan account</w:t>
      </w:r>
    </w:p>
    <w:p>
      <w:pPr>
        <w:spacing w:after="0" w:line="27"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From the “Accounts” menu, click on “Stock Plan (ON)”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Click on “Action Items” (located on the right side of the screen)</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Click on “Requires Acceptance”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Accept this Award by clicking the “ACCEPT” or “SUBMIT” button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 your acceptance of this Award:</w:t>
      </w:r>
    </w:p>
    <w:p>
      <w:pPr>
        <w:spacing w:after="0" w:line="252" w:lineRule="exact"/>
        <w:rPr>
          <w:sz w:val="20"/>
          <w:szCs w:val="20"/>
          <w:color w:val="auto"/>
        </w:rPr>
      </w:pPr>
    </w:p>
    <w:p>
      <w:pPr>
        <w:ind w:left="660" w:hanging="328"/>
        <w:spacing w:after="0" w:line="260" w:lineRule="auto"/>
        <w:tabs>
          <w:tab w:leader="none" w:pos="655"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you acknowledge receiving and reviewing the Award Documents, including this Notice, the Award Agreement and the Plan, and related documentation;</w:t>
      </w:r>
    </w:p>
    <w:p>
      <w:pPr>
        <w:ind w:left="660" w:hanging="328"/>
        <w:spacing w:after="0" w:line="265" w:lineRule="auto"/>
        <w:tabs>
          <w:tab w:leader="none" w:pos="655"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you agree that this Award is granted under, and governed by the terms and conditions of, the Award Documents, and you agree to be bound by all such terms and conditions;</w:t>
      </w:r>
    </w:p>
    <w:p>
      <w:pPr>
        <w:sectPr>
          <w:pgSz w:w="11900" w:h="16838" w:orient="portrait"/>
          <w:cols w:equalWidth="0" w:num="1">
            <w:col w:w="11240"/>
          </w:cols>
          <w:pgMar w:left="320" w:top="117" w:right="339" w:bottom="1440" w:gutter="0" w:footer="0" w:header="0"/>
        </w:sectPr>
      </w:pPr>
    </w:p>
    <w:bookmarkStart w:id="98" w:name="page99"/>
    <w:bookmarkEnd w:id="98"/>
    <w:p>
      <w:pPr>
        <w:spacing w:after="0" w:line="18" w:lineRule="exact"/>
        <w:rPr>
          <w:sz w:val="20"/>
          <w:szCs w:val="20"/>
          <w:color w:val="auto"/>
        </w:rPr>
      </w:pPr>
    </w:p>
    <w:p>
      <w:pPr>
        <w:ind w:left="660" w:hanging="328"/>
        <w:spacing w:after="0" w:line="260" w:lineRule="auto"/>
        <w:tabs>
          <w:tab w:leader="none" w:pos="655"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you agree to accept as binding, conclusive and final all decisions or interpretations of the Plan administrator or the administrator’s delegatee; and</w:t>
      </w:r>
    </w:p>
    <w:p>
      <w:pPr>
        <w:ind w:left="660" w:hanging="328"/>
        <w:spacing w:after="0" w:line="274" w:lineRule="auto"/>
        <w:tabs>
          <w:tab w:leader="none" w:pos="655"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you consent to the collection, use and transfer, in electronic or other form, of your personal data as described in the Award Agreement for the purposes of implementing, administering and managing your participation in the Plan.</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This Notice will be interpreted and administered under the laws of the State of Delaware (without giving effect to its conflict of laws principles) and upon acceptance will be deemed to have been executed and delivered as of the grant date shown above.</w:t>
      </w:r>
    </w:p>
    <w:p>
      <w:pPr>
        <w:spacing w:after="0" w:line="200" w:lineRule="exact"/>
        <w:rPr>
          <w:sz w:val="20"/>
          <w:szCs w:val="20"/>
          <w:color w:val="auto"/>
        </w:rPr>
      </w:pPr>
    </w:p>
    <w:p>
      <w:pPr>
        <w:spacing w:after="0" w:line="22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2226945</wp:posOffset>
            </wp:positionH>
            <wp:positionV relativeFrom="paragraph">
              <wp:posOffset>591820</wp:posOffset>
            </wp:positionV>
            <wp:extent cx="2540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ON SEMICONDUCTOR CORPORATION</w:t>
      </w:r>
    </w:p>
    <w:p>
      <w:pPr>
        <w:spacing w:after="0" w:line="25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-7620</wp:posOffset>
            </wp:positionV>
            <wp:extent cx="8890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 FOR NON-EMPLOYEE DIRECTORS</w:t>
      </w:r>
    </w:p>
    <w:p>
      <w:pPr>
        <w:spacing w:after="0" w:line="234"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Units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ON Semiconductor Corporation,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grants to the grantee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Grantee</w:t>
      </w:r>
      <w:r>
        <w:rPr>
          <w:rFonts w:ascii="Arial" w:cs="Arial" w:eastAsia="Arial" w:hAnsi="Arial"/>
          <w:sz w:val="18"/>
          <w:szCs w:val="18"/>
          <w:color w:val="auto"/>
        </w:rPr>
        <w:t>”) set forth in the Notice of Grant of Restricted Stock Units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an award of restricted stock units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as set forth in the Notice and subject to the terms and conditions of (i) this Restricted Stock Unit Award Agreement (this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(ii) the ON Semiconductor Corporation Amended and Restated Stock Incentive Plan (as it may be amended and in effect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if applicable and timely submitted, (iii) the onsemi Stock Election and Deferral Plan (the “</w:t>
      </w:r>
      <w:r>
        <w:rPr>
          <w:rFonts w:ascii="Arial" w:cs="Arial" w:eastAsia="Arial" w:hAnsi="Arial"/>
          <w:sz w:val="18"/>
          <w:szCs w:val="18"/>
          <w:b w:val="1"/>
          <w:bCs w:val="1"/>
          <w:i w:val="1"/>
          <w:iCs w:val="1"/>
          <w:color w:val="auto"/>
        </w:rPr>
        <w:t>Deferral Plan</w:t>
      </w:r>
      <w:r>
        <w:rPr>
          <w:rFonts w:ascii="Arial" w:cs="Arial" w:eastAsia="Arial" w:hAnsi="Arial"/>
          <w:sz w:val="18"/>
          <w:szCs w:val="18"/>
          <w:color w:val="auto"/>
        </w:rPr>
        <w:t>”) and the participation agreement electing to defer receipt of some or all of the shares of Stock underlying the Award (together with the Notice, Award Agreement, Plan and Deferral Plan, the “</w:t>
      </w:r>
      <w:r>
        <w:rPr>
          <w:rFonts w:ascii="Arial" w:cs="Arial" w:eastAsia="Arial" w:hAnsi="Arial"/>
          <w:sz w:val="18"/>
          <w:szCs w:val="18"/>
          <w:b w:val="1"/>
          <w:bCs w:val="1"/>
          <w:i w:val="1"/>
          <w:iCs w:val="1"/>
          <w:color w:val="auto"/>
        </w:rPr>
        <w:t>Award Documents</w:t>
      </w:r>
      <w:r>
        <w:rPr>
          <w:rFonts w:ascii="Arial" w:cs="Arial" w:eastAsia="Arial" w:hAnsi="Arial"/>
          <w:sz w:val="18"/>
          <w:szCs w:val="18"/>
          <w:color w:val="auto"/>
        </w:rPr>
        <w:t>”). All capitalized terms used but not defined in this Award Agreement have the meaning set forth in the Plan.</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Each Unit represents the right to receive one share of Stock, subject to Section 5, if and to the extent that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the Award Documents have been satisfied. Unless and until the Units vest, the Grantee will have no right to receive any shares of Stock (or any other payment or right) in connection with such Units. Prior to the actual distribution of shares of Stock in settlement of any vested Units, if applicable, this Award represents an unsecured obligation of the Company, payable (if at all) only from the general assets of the Company.</w:t>
      </w:r>
    </w:p>
    <w:p>
      <w:pPr>
        <w:spacing w:after="0" w:line="179" w:lineRule="exact"/>
        <w:rPr>
          <w:sz w:val="20"/>
          <w:szCs w:val="20"/>
          <w:color w:val="auto"/>
        </w:rPr>
      </w:pPr>
    </w:p>
    <w:p>
      <w:pPr>
        <w:jc w:val="both"/>
        <w:ind w:firstLine="656"/>
        <w:spacing w:after="0" w:line="262" w:lineRule="auto"/>
        <w:tabs>
          <w:tab w:leader="none" w:pos="127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The Units will vest on the earlier of (i) the day prior to the date of the Company’s next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(ii) the 30th day after the first anniversary of the date of the previous annual meeting of the Company’s stockholders. If the Grantee dies or is removed from the Board without Cause prior to the vesting date, all Units will immediately vest. Except as otherwise expressly provided in this Section 2 or determined by the Committee in its sole discretion, termination of Board service prior to the vesting date will result in the automatic forfeiture of all Units. The actual date on which the Units vest is referred to as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w:t>
      </w:r>
    </w:p>
    <w:p>
      <w:pPr>
        <w:spacing w:after="0" w:line="166" w:lineRule="exact"/>
        <w:rPr>
          <w:rFonts w:ascii="Arial" w:cs="Arial" w:eastAsia="Arial" w:hAnsi="Arial"/>
          <w:sz w:val="18"/>
          <w:szCs w:val="18"/>
          <w:b w:val="1"/>
          <w:bCs w:val="1"/>
          <w:color w:val="auto"/>
        </w:rPr>
      </w:pPr>
    </w:p>
    <w:p>
      <w:pPr>
        <w:jc w:val="both"/>
        <w:ind w:firstLine="656"/>
        <w:spacing w:after="0" w:line="262" w:lineRule="auto"/>
        <w:tabs>
          <w:tab w:leader="none" w:pos="102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Time and Form of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the Award Documents, once vested, the Company will deliver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the same number of whole shares of Stock as the number of vested Units, rounded to the nearest whole share, without payment for any fractional share. Subject to Section 19, the Company will deliver the Stock to the Grantee within 15 days after the Vesting Date or, if applicable, such later date as determined in accordance with the Deferral Plan and the applicable participation agreement.</w:t>
      </w:r>
    </w:p>
    <w:p>
      <w:pPr>
        <w:spacing w:after="0" w:line="176" w:lineRule="exact"/>
        <w:rPr>
          <w:rFonts w:ascii="Arial" w:cs="Arial" w:eastAsia="Arial" w:hAnsi="Arial"/>
          <w:sz w:val="18"/>
          <w:szCs w:val="18"/>
          <w:b w:val="1"/>
          <w:bCs w:val="1"/>
          <w:color w:val="auto"/>
        </w:rPr>
      </w:pPr>
    </w:p>
    <w:p>
      <w:pPr>
        <w:jc w:val="both"/>
        <w:ind w:firstLine="656"/>
        <w:spacing w:after="0" w:line="268" w:lineRule="auto"/>
        <w:tabs>
          <w:tab w:leader="none" w:pos="1038"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issuance of shares of Stock in settlement of the Units, the Units may not be sold,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pledged, assigned or otherwise alienated or hypothecated, either voluntarily or involuntarily, other than by will or by the laws of descent and distribution, except as otherwise provided under Article 12 of the Plan.</w:t>
      </w:r>
    </w:p>
    <w:p>
      <w:pPr>
        <w:spacing w:after="0" w:line="170" w:lineRule="exact"/>
        <w:rPr>
          <w:rFonts w:ascii="Arial" w:cs="Arial" w:eastAsia="Arial" w:hAnsi="Arial"/>
          <w:sz w:val="18"/>
          <w:szCs w:val="18"/>
          <w:b w:val="1"/>
          <w:bCs w:val="1"/>
          <w:color w:val="auto"/>
        </w:rPr>
      </w:pPr>
    </w:p>
    <w:p>
      <w:pPr>
        <w:jc w:val="both"/>
        <w:ind w:firstLine="656"/>
        <w:spacing w:after="0" w:line="262" w:lineRule="auto"/>
        <w:tabs>
          <w:tab w:leader="none" w:pos="102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stock dividend or in the event the Stock is changed into or exchanged for a different number or</w:t>
      </w:r>
      <w:r>
        <w:rPr>
          <w:rFonts w:ascii="Arial" w:cs="Arial" w:eastAsia="Arial" w:hAnsi="Arial"/>
          <w:sz w:val="18"/>
          <w:szCs w:val="18"/>
          <w:b w:val="1"/>
          <w:bCs w:val="1"/>
          <w:color w:val="auto"/>
        </w:rPr>
        <w:t xml:space="preserve"> </w:t>
      </w:r>
      <w:r>
        <w:rPr>
          <w:rFonts w:ascii="Arial" w:cs="Arial" w:eastAsia="Arial" w:hAnsi="Arial"/>
          <w:sz w:val="18"/>
          <w:szCs w:val="18"/>
          <w:color w:val="auto"/>
        </w:rPr>
        <w:t>class of shares of stock of the Company or of another corporation, whether through reorganization, recapitalization, stock split-up, combination of shares, merger or consolidation or other similar corporate change, the Award will be adjusted by the Committee in its discretion in accordance with, and to the extent provided in, Section 5.3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 w:lineRule="exact"/>
        <w:rPr>
          <w:sz w:val="20"/>
          <w:szCs w:val="20"/>
          <w:color w:val="auto"/>
        </w:rPr>
      </w:pPr>
    </w:p>
    <w:p>
      <w:pPr>
        <w:jc w:val="both"/>
        <w:ind w:firstLine="656"/>
        <w:spacing w:after="0" w:line="255" w:lineRule="auto"/>
        <w:tabs>
          <w:tab w:leader="none" w:pos="1011"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 shares of Stock will be delivered under this Award Agreement until: (i) the Units vest (and, if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the deferral period ends) in accordance with the terms and conditions of the Award Documents; (ii) approval of any governmental authority required in connection with this Award Agreement, or the issuance of shares of Stock thereunder, has been received by the Company; (iii) if required by the Committee, the Grantee has delivered to the Company documentation (in form and content acceptable to the Company in its sole and absolute discretion) to assist the Company in concluding that the issuance to the Grantee of any shares of Stock under this Award Agreement would not violate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or any other applicable federal, state or local securities or other laws or regulations; and (iv) the Grantee has executed and returned the Notice to the Company (which, in the case of an Notice provided to the Grantee in electronic format, requires that the Grantee click the “ACCEPT” or “SUBMIT” button). The Award must be accepted by the Grantee within 150 days following the Grant Date, unless otherwise determined by the Committee.</w:t>
      </w:r>
    </w:p>
    <w:p>
      <w:pPr>
        <w:spacing w:after="0" w:line="180" w:lineRule="exact"/>
        <w:rPr>
          <w:rFonts w:ascii="Arial" w:cs="Arial" w:eastAsia="Arial" w:hAnsi="Arial"/>
          <w:sz w:val="18"/>
          <w:szCs w:val="18"/>
          <w:b w:val="1"/>
          <w:bCs w:val="1"/>
          <w:color w:val="auto"/>
        </w:rPr>
      </w:pPr>
    </w:p>
    <w:p>
      <w:pPr>
        <w:jc w:val="both"/>
        <w:ind w:firstLine="656"/>
        <w:spacing w:after="0" w:line="268" w:lineRule="auto"/>
        <w:tabs>
          <w:tab w:leader="none" w:pos="1038"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not be required to deliver any shares of Stock upon the vesting of Units if, in the opinion of</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for the Company, such issuance would violate the Securities Act or any other applicable federal, state or local securities laws or regulations.</w:t>
      </w:r>
    </w:p>
    <w:p>
      <w:pPr>
        <w:spacing w:after="0" w:line="170" w:lineRule="exact"/>
        <w:rPr>
          <w:rFonts w:ascii="Arial" w:cs="Arial" w:eastAsia="Arial" w:hAnsi="Arial"/>
          <w:sz w:val="18"/>
          <w:szCs w:val="18"/>
          <w:b w:val="1"/>
          <w:bCs w:val="1"/>
          <w:color w:val="auto"/>
        </w:rPr>
      </w:pPr>
    </w:p>
    <w:p>
      <w:pPr>
        <w:jc w:val="both"/>
        <w:ind w:firstLine="656"/>
        <w:spacing w:after="0" w:line="268" w:lineRule="auto"/>
        <w:tabs>
          <w:tab w:leader="none" w:pos="1025" w:val="left"/>
        </w:tabs>
        <w:numPr>
          <w:ilvl w:val="0"/>
          <w:numId w:val="54"/>
        </w:numPr>
        <w:rPr>
          <w:rFonts w:ascii="Arial" w:cs="Arial" w:eastAsia="Arial" w:hAnsi="Arial"/>
          <w:sz w:val="18"/>
          <w:szCs w:val="18"/>
          <w:b w:val="1"/>
          <w:bCs w:val="1"/>
          <w:color w:val="auto"/>
        </w:rPr>
      </w:pP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Voting and Other Stockholder Rights</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provided in Section 8 of the Deferral Plan, if applicable, the Grantee will have no voting rights or any other rights as a stockholder of the Company (such as rights to any cash dividends or distributions) with respect to the Units before the Company issues shares of Stock to the Grantee in settlement of vested Units.</w:t>
      </w:r>
    </w:p>
    <w:p>
      <w:pPr>
        <w:spacing w:after="0" w:line="170" w:lineRule="exact"/>
        <w:rPr>
          <w:rFonts w:ascii="Arial" w:cs="Arial" w:eastAsia="Arial" w:hAnsi="Arial"/>
          <w:sz w:val="18"/>
          <w:szCs w:val="18"/>
          <w:b w:val="1"/>
          <w:bCs w:val="1"/>
          <w:color w:val="auto"/>
        </w:rPr>
      </w:pPr>
    </w:p>
    <w:p>
      <w:pPr>
        <w:jc w:val="both"/>
        <w:ind w:firstLine="656"/>
        <w:spacing w:after="0" w:line="257" w:lineRule="auto"/>
        <w:tabs>
          <w:tab w:leader="none" w:pos="106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participation in the Plan or any notice required or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Award Documents must be given in writing and will be deemed effectively given (except to the extent that this Award Agreement provides for effectiveness only upon actual receipt of such notice) upon personal delivery, electronic delivery at the e-mail address, if any, provided for the Grantee by the Company or an Affiliate, or upon deposit in the U.S. Post Office or foreign postal service, or with a nationally recognized overnight courier service, with postage and fees prepaid, addressed to the other party at the current address on file with the Company or at such other address as such party may designate in writing from time to time to the other party.</w:t>
      </w:r>
    </w:p>
    <w:p>
      <w:pPr>
        <w:spacing w:after="0" w:line="18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Description of Electronic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Documents and all other documents related to participation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(which may include the Plan, the Notice, this Award Agreement, any prospectus delivered pursuant to the Plan or applicable law and any reports of the Company provided generally to the Company’s stockholders) may be delivered to the Grantee electronically. In addition, the Grantee may deliver electronically the Notice and this Award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83"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u w:val="single" w:color="auto"/>
          <w:color w:val="auto"/>
        </w:rPr>
        <w:t>Consent to Electronic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Grantee acknowledges that the Grantee has read Section 9.1 and consents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electronic delivery of the Plan documents as described in Section 9.1. The Grantee acknowledges that the Grantee may receive from the Company a paper copy of any documents delivered electronically at no cost to the Grantee by contacting the Company by telephone, in writing, or by email.</w:t>
      </w:r>
    </w:p>
    <w:p>
      <w:pPr>
        <w:spacing w:after="0" w:line="176" w:lineRule="exact"/>
        <w:rPr>
          <w:sz w:val="20"/>
          <w:szCs w:val="20"/>
          <w:color w:val="auto"/>
        </w:rPr>
      </w:pPr>
    </w:p>
    <w:p>
      <w:pPr>
        <w:ind w:firstLine="656"/>
        <w:spacing w:after="0" w:line="287" w:lineRule="auto"/>
        <w:tabs>
          <w:tab w:leader="none" w:pos="1233"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and this Award Agreement are subject to the terms and conditions of the Plan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by the Committee in accordance with the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provisions of the Plan in all respects. The Committee has the sole and complete discretion with respect to all matters reserved to it by the Plan and decisions of the Committee with respect to the Award Documents will be final and binding upon the Grantee and the Company. In the event of any conflict between the terms and conditions of this Award Agreement and the Plan, the provisions of the Plan will control.</w:t>
      </w:r>
    </w:p>
    <w:p>
      <w:pPr>
        <w:spacing w:after="0" w:line="171" w:lineRule="exact"/>
        <w:rPr>
          <w:sz w:val="20"/>
          <w:szCs w:val="20"/>
          <w:color w:val="auto"/>
        </w:rPr>
      </w:pPr>
    </w:p>
    <w:p>
      <w:pPr>
        <w:jc w:val="both"/>
        <w:ind w:firstLine="656"/>
        <w:spacing w:after="0" w:line="268" w:lineRule="auto"/>
        <w:tabs>
          <w:tab w:leader="none" w:pos="111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Continuation of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Agreement does not, and should not be construed to, (i) confer upon the Grantee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continue providing services as a member of the Board or (ii) limit the right of the Company or its stockholders to terminate the Grantee’s service relationship at any time and for any reason.</w:t>
      </w:r>
    </w:p>
    <w:p>
      <w:pPr>
        <w:spacing w:after="0" w:line="170" w:lineRule="exact"/>
        <w:rPr>
          <w:rFonts w:ascii="Arial" w:cs="Arial" w:eastAsia="Arial" w:hAnsi="Arial"/>
          <w:sz w:val="18"/>
          <w:szCs w:val="18"/>
          <w:b w:val="1"/>
          <w:bCs w:val="1"/>
          <w:color w:val="auto"/>
        </w:rPr>
      </w:pPr>
    </w:p>
    <w:p>
      <w:pPr>
        <w:jc w:val="both"/>
        <w:ind w:firstLine="656"/>
        <w:spacing w:after="0" w:line="268" w:lineRule="auto"/>
        <w:tabs>
          <w:tab w:leader="none" w:pos="109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Federal and State Taxes</w:t>
      </w:r>
      <w:r>
        <w:rPr>
          <w:rFonts w:ascii="Arial" w:cs="Arial" w:eastAsia="Arial" w:hAnsi="Arial"/>
          <w:sz w:val="18"/>
          <w:szCs w:val="18"/>
          <w:color w:val="auto"/>
        </w:rPr>
        <w:t>. The Grantee may incur certain liabilities for federal, state or local taxes in connection with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deferral of, or settlement of shares of Stock underlying, the Award, and the Grantee agrees to be responsible for the payment of any resulting taxes.</w:t>
      </w:r>
    </w:p>
    <w:p>
      <w:pPr>
        <w:spacing w:after="0" w:line="170" w:lineRule="exact"/>
        <w:rPr>
          <w:rFonts w:ascii="Arial" w:cs="Arial" w:eastAsia="Arial" w:hAnsi="Arial"/>
          <w:sz w:val="18"/>
          <w:szCs w:val="18"/>
          <w:b w:val="1"/>
          <w:bCs w:val="1"/>
          <w:color w:val="auto"/>
        </w:rPr>
      </w:pPr>
    </w:p>
    <w:p>
      <w:pPr>
        <w:ind w:firstLine="656"/>
        <w:spacing w:after="0" w:line="287" w:lineRule="auto"/>
        <w:tabs>
          <w:tab w:leader="none" w:pos="109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and this Award Agreement may not be amended or modified so as to materially adversely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Grantee’s rights except (i) by a written agreement executed by the Company and the Grantee or (ii) as otherwise provided in the Plan.</w:t>
      </w:r>
    </w:p>
    <w:p>
      <w:pPr>
        <w:spacing w:after="0" w:line="152" w:lineRule="exact"/>
        <w:rPr>
          <w:rFonts w:ascii="Arial" w:cs="Arial" w:eastAsia="Arial" w:hAnsi="Arial"/>
          <w:sz w:val="18"/>
          <w:szCs w:val="18"/>
          <w:b w:val="1"/>
          <w:bCs w:val="1"/>
          <w:color w:val="auto"/>
        </w:rPr>
      </w:pPr>
    </w:p>
    <w:p>
      <w:pPr>
        <w:jc w:val="both"/>
        <w:ind w:firstLine="656"/>
        <w:spacing w:after="0" w:line="262" w:lineRule="auto"/>
        <w:tabs>
          <w:tab w:leader="none" w:pos="1179"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Integrated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Documents constitute the entire understanding and agreement of the Grantee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respect to the Award and supersede any prior agreements, understandings, restrictions, representations or warranties between the Grantee and the Company with respect to such subject matter. To the extent contemplated in the Award Documents, the provisions of the Award Documents will survive any vesting and settlement of the Award and will remain in full force and effect.</w:t>
      </w:r>
    </w:p>
    <w:p>
      <w:pPr>
        <w:spacing w:after="0" w:line="176" w:lineRule="exact"/>
        <w:rPr>
          <w:rFonts w:ascii="Arial" w:cs="Arial" w:eastAsia="Arial" w:hAnsi="Arial"/>
          <w:sz w:val="18"/>
          <w:szCs w:val="18"/>
          <w:b w:val="1"/>
          <w:bCs w:val="1"/>
          <w:color w:val="auto"/>
        </w:rPr>
      </w:pPr>
    </w:p>
    <w:p>
      <w:pPr>
        <w:jc w:val="both"/>
        <w:ind w:firstLine="656"/>
        <w:spacing w:after="0" w:line="259" w:lineRule="auto"/>
        <w:tabs>
          <w:tab w:leader="none" w:pos="124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of the provisions of the Notice and this Award Agreement is held to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respect, the validity, legality and enforceability of the remaining provisions will not in any way be affected or impaired by such holding and the invalid, illegal or unenforceable provisions will be deemed null and void; however, to the extent permissible by law, any provisions that could be deemed null and void should first be construed, interpreted or revised retroactively to permit the Notice and this Award Agreement to be construed so as to foster the intent of the Award Documents.</w:t>
      </w:r>
    </w:p>
    <w:p>
      <w:pPr>
        <w:spacing w:after="0" w:line="179" w:lineRule="exact"/>
        <w:rPr>
          <w:rFonts w:ascii="Arial" w:cs="Arial" w:eastAsia="Arial" w:hAnsi="Arial"/>
          <w:sz w:val="18"/>
          <w:szCs w:val="18"/>
          <w:b w:val="1"/>
          <w:bCs w:val="1"/>
          <w:color w:val="auto"/>
        </w:rPr>
      </w:pPr>
    </w:p>
    <w:p>
      <w:pPr>
        <w:jc w:val="both"/>
        <w:ind w:firstLine="656"/>
        <w:spacing w:after="0" w:line="262" w:lineRule="auto"/>
        <w:tabs>
          <w:tab w:leader="none" w:pos="1219"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Venue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Documents will be interpreted and administered under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For purposes of litigating any dispute that arises under the Award Documents, the parties hereby submit to and consent to the jurisdiction of the State of Arizona and agree that such litigation will be conducted in the courts of Maricopa County, Arizona, or the federal courts for the United States for the District of Arizona, where this grant is made and/or to be performed.</w:t>
      </w:r>
    </w:p>
    <w:p>
      <w:pPr>
        <w:spacing w:after="0" w:line="176" w:lineRule="exact"/>
        <w:rPr>
          <w:rFonts w:ascii="Arial" w:cs="Arial" w:eastAsia="Arial" w:hAnsi="Arial"/>
          <w:sz w:val="18"/>
          <w:szCs w:val="18"/>
          <w:b w:val="1"/>
          <w:bCs w:val="1"/>
          <w:color w:val="auto"/>
        </w:rPr>
      </w:pPr>
    </w:p>
    <w:p>
      <w:pPr>
        <w:jc w:val="both"/>
        <w:ind w:firstLine="656"/>
        <w:spacing w:after="0" w:line="262" w:lineRule="auto"/>
        <w:tabs>
          <w:tab w:leader="none" w:pos="115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Grantee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Grantee represents that he or she has read and is familiar with the provisions of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accepts the Award subject to all such terms and conditions. The Notice and this Agreement will be deemed to have been accepted and signed by the Grantee and the Company as of the Grant Date upon the Grantee’s online acceptance or deemed acceptance as set forth in the Notice or otherwise agreed in writing by the Grantee.</w:t>
      </w:r>
    </w:p>
    <w:p>
      <w:pPr>
        <w:spacing w:after="0" w:line="176" w:lineRule="exact"/>
        <w:rPr>
          <w:rFonts w:ascii="Arial" w:cs="Arial" w:eastAsia="Arial" w:hAnsi="Arial"/>
          <w:sz w:val="18"/>
          <w:szCs w:val="18"/>
          <w:b w:val="1"/>
          <w:bCs w:val="1"/>
          <w:color w:val="auto"/>
        </w:rPr>
      </w:pPr>
    </w:p>
    <w:p>
      <w:pPr>
        <w:ind w:right="20" w:firstLine="656"/>
        <w:spacing w:after="0" w:line="287" w:lineRule="auto"/>
        <w:tabs>
          <w:tab w:leader="none" w:pos="1219"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Notice and this Agreement may be executed (or, as provided in Section 9, accepted and signed) in</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will be deemed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8" w:lineRule="exact"/>
        <w:rPr>
          <w:sz w:val="20"/>
          <w:szCs w:val="20"/>
          <w:color w:val="auto"/>
        </w:rPr>
      </w:pPr>
    </w:p>
    <w:p>
      <w:pPr>
        <w:jc w:val="both"/>
        <w:ind w:left="-220" w:firstLine="656"/>
        <w:spacing w:after="0" w:line="254" w:lineRule="auto"/>
        <w:tabs>
          <w:tab w:leader="none" w:pos="999"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intends and believes, but does not and cannot warrant or guaranty,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due pursuant to this Award comply with, or are exempt from, the requirements of Section 409A of the Code and each provision of the Award Documents will be interpreted, to the extent possible, consistent with that intent and belief. For any payments due pursuant to this Award that the Company determines must comply with Section 409A, (i) the provisions of Section 18.3 of the Plan will apply, including any payment delays that may be required to comply with Section 409A, and (ii) each payment under these Award Documents will be treated as a separate payment. As provided in the Plan, the Company reserves the right to amend the Award or the Award Documents to ensure any payments pursuant to this Award comply with, or are exempt from, Section 409A. Notwithstanding the foregoing, the Grantee remains solely responsible for any adverse tax consequences that may be imposed upon the Grantee by Section 409A and nothing in the Award Document provides a basis for any person to take any action against the Company or any of its Subsidiaries or affiliates based on matters covered by Section 409A, including the tax treatment of any amounts payable or paid under the Award Documents.</w:t>
      </w:r>
    </w:p>
    <w:p>
      <w:pPr>
        <w:spacing w:after="0" w:line="185" w:lineRule="exact"/>
        <w:rPr>
          <w:rFonts w:ascii="Arial" w:cs="Arial" w:eastAsia="Arial" w:hAnsi="Arial"/>
          <w:sz w:val="18"/>
          <w:szCs w:val="18"/>
          <w:b w:val="1"/>
          <w:bCs w:val="1"/>
          <w:color w:val="auto"/>
        </w:rPr>
      </w:pPr>
    </w:p>
    <w:p>
      <w:pPr>
        <w:jc w:val="both"/>
        <w:ind w:left="-220" w:firstLine="656"/>
        <w:spacing w:after="0" w:line="253" w:lineRule="auto"/>
        <w:tabs>
          <w:tab w:leader="none" w:pos="10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reserves the right to impose other requirements on the Grantee’s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Plan, on the Units and on any shares of Stock acquired under the Plan, to the extent the Company determines it is necessary or advisable in order to comply with local law or facilitate the administration of the Plan, and to require the Grantee to sign any additional agreements or undertakings that may be necessary to accomplish the foregoing. Further, the Award, any Shares issued in settlement of vested Units and any other amounts realized under the Award Documents are subject to the Company’s compensation recovery policy or policies (and related Company practices) as in effect from time to time, regardless of whether such policies were adopted in response to Section 954 of the Dodd-Frank Wall Street Reform and Consumer Protection Act, as amended, and similar or related laws, rules and regulations. In addition to the Company’s compensation recovery policy or policies, and notwithstanding anything in the Plan to the contrary, the Company may require the Grantee to forfeit all or a portion of any unvested Units, any shares of Stock delivered pursuant to, and any other amounts realized under, the Award Documents if: (i) the Grantee is removed from the Board for Cause; or (ii) the Committee, in its sole and absolute discretion, determines that the Grantee engaged in serious misconduct that results or might reasonably be expected to result in financial or reputational harm to the Company. The Grantee agrees to fully cooperate with the Company in assuring compliance with the provisions of this Section 20 and such compensation recovery policies and the provisions of applicable law, including, but not limited to, promptly returning any compensation subject to recovery by the Company pursuant to the provisions of this Section 20, such policies and applicable law.</w:t>
      </w:r>
    </w:p>
    <w:p>
      <w:pPr>
        <w:spacing w:after="0" w:line="223" w:lineRule="exact"/>
        <w:rPr>
          <w:rFonts w:ascii="Arial" w:cs="Arial" w:eastAsia="Arial" w:hAnsi="Arial"/>
          <w:sz w:val="18"/>
          <w:szCs w:val="18"/>
          <w:b w:val="1"/>
          <w:bCs w:val="1"/>
          <w:color w:val="auto"/>
        </w:rPr>
      </w:pPr>
    </w:p>
    <w:p>
      <w:pPr>
        <w:jc w:val="both"/>
        <w:ind w:left="-220" w:firstLine="656"/>
        <w:spacing w:after="0" w:line="355" w:lineRule="auto"/>
        <w:tabs>
          <w:tab w:leader="none" w:pos="97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The Grantee hereby explicitly and unambiguously consents to the collection, use and transfer, in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electronic or other form, of the Grantee's personal data as described in this Award Agreement by and among, as applicable, the Company and its Affiliates for the exclusive purpose of implementing, administering and managing the Grantee's participation in the Plan. The Grantee understands that the Company and its Affiliates may hold certain personal information about the Grantee, including, but not limited to, the Grantee's name, home address and telephone number, date of birth, social insurance number, passport number, or other identification number, salary, nationality, job title, any shares of stock or directorships held in the Company, details of all Units or any other entitlement to shares awarded, canceled, vested, unvested or outstanding in the Grantee’s favor, for the purpose of implementing, administering and managing the Plan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540" w:top="1440" w:right="339" w:bottom="1440" w:gutter="0" w:footer="0" w:header="0"/>
        </w:sectPr>
      </w:pPr>
    </w:p>
    <w:bookmarkStart w:id="103" w:name="page104"/>
    <w:bookmarkEnd w:id="103"/>
    <w:p>
      <w:pPr>
        <w:spacing w:after="0" w:line="303" w:lineRule="exact"/>
        <w:rPr>
          <w:sz w:val="20"/>
          <w:szCs w:val="20"/>
          <w:color w:val="auto"/>
        </w:rPr>
      </w:pPr>
    </w:p>
    <w:p>
      <w:pPr>
        <w:jc w:val="both"/>
        <w:spacing w:after="0" w:line="353" w:lineRule="auto"/>
        <w:rPr>
          <w:sz w:val="20"/>
          <w:szCs w:val="20"/>
          <w:color w:val="auto"/>
        </w:rPr>
      </w:pPr>
      <w:r>
        <w:rPr>
          <w:rFonts w:ascii="Arial" w:cs="Arial" w:eastAsia="Arial" w:hAnsi="Arial"/>
          <w:sz w:val="18"/>
          <w:szCs w:val="18"/>
          <w:b w:val="1"/>
          <w:bCs w:val="1"/>
          <w:i w:val="1"/>
          <w:iCs w:val="1"/>
          <w:color w:val="auto"/>
        </w:rPr>
        <w:t>The Grantee understands that Data may be transferred to such stock plan service provider (or providers) as may be selected by the Company which is (or are) assisting in the implementation, administration and management of the Plan and awards granted under it. The Grantee understands that these recipients of Data may be located in the United States,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hereby authorizes the Company and any other possible recipients which may assist the Company (presently or in the future) with implementing, administering and managing the Plan and awards granted thereunder to receive, possess, use, retain and transfer the Data, in electronic or other form, for the sole purpose of implementing, administering and managing the Grantee's participation in the Plan.</w:t>
      </w:r>
    </w:p>
    <w:p>
      <w:pPr>
        <w:spacing w:after="0" w:line="203" w:lineRule="exact"/>
        <w:rPr>
          <w:sz w:val="20"/>
          <w:szCs w:val="20"/>
          <w:color w:val="auto"/>
        </w:rPr>
      </w:pPr>
    </w:p>
    <w:p>
      <w:pPr>
        <w:jc w:val="both"/>
        <w:spacing w:after="0" w:line="355" w:lineRule="auto"/>
        <w:rPr>
          <w:sz w:val="20"/>
          <w:szCs w:val="20"/>
          <w:color w:val="auto"/>
        </w:rPr>
      </w:pPr>
      <w:r>
        <w:rPr>
          <w:rFonts w:ascii="Arial" w:cs="Arial" w:eastAsia="Arial" w:hAnsi="Arial"/>
          <w:sz w:val="18"/>
          <w:szCs w:val="18"/>
          <w:b w:val="1"/>
          <w:bCs w:val="1"/>
          <w:i w:val="1"/>
          <w:iCs w:val="1"/>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refuse or withdraw the consents given in this Section 21, in any case without cost, by contacting the Legal Department in writing. The Grantee understands, however, that refusing or withdrawing such consent may affect the Grantee’s ability to participate in the Plan and the Grantee’s continued eligibility for this Award or eligibility to be granted any other awards under the Plan. For more information on the consequences of the Grantee’s refusal to consent or withdrawal of consent, the Grantee understands that the Grantee may contact the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23495</wp:posOffset>
            </wp:positionV>
            <wp:extent cx="1645920" cy="5746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164592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line="273" w:lineRule="auto"/>
        <w:rPr>
          <w:sz w:val="20"/>
          <w:szCs w:val="20"/>
          <w:color w:val="auto"/>
        </w:rPr>
      </w:pPr>
      <w:r>
        <w:rPr>
          <w:rFonts w:ascii="Arial" w:cs="Arial" w:eastAsia="Arial" w:hAnsi="Arial"/>
          <w:sz w:val="18"/>
          <w:szCs w:val="18"/>
          <w:b w:val="1"/>
          <w:bCs w:val="1"/>
          <w:color w:val="auto"/>
        </w:rPr>
        <w:t>CERTAIN INFORMATION HAS BEEN REDACTED FROM THIS EXHIBIT PURSUANT TO RULE 601 OF REGULATION S-K. INFORMATION THAT HAS BEEN OMITTED HAS BEEN IDENTIFIED IN THIS DOCUMENT WITH A PLACEHOLDER IDENTIFIED BY THE MARK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Insider Trading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This Insider Trading Policy (the “</w:t>
      </w:r>
      <w:r>
        <w:rPr>
          <w:rFonts w:ascii="Arial" w:cs="Arial" w:eastAsia="Arial" w:hAnsi="Arial"/>
          <w:sz w:val="18"/>
          <w:szCs w:val="18"/>
          <w:b w:val="1"/>
          <w:bCs w:val="1"/>
          <w:color w:val="auto"/>
        </w:rPr>
        <w:t>Policy</w:t>
      </w:r>
      <w:r>
        <w:rPr>
          <w:rFonts w:ascii="Arial" w:cs="Arial" w:eastAsia="Arial" w:hAnsi="Arial"/>
          <w:sz w:val="18"/>
          <w:szCs w:val="18"/>
          <w:color w:val="auto"/>
        </w:rPr>
        <w:t>”) provides guidelines with respect to transactions in the securities of ON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together with its subsidiaries, “</w:t>
      </w:r>
      <w:r>
        <w:rPr>
          <w:rFonts w:ascii="Arial" w:cs="Arial" w:eastAsia="Arial" w:hAnsi="Arial"/>
          <w:sz w:val="18"/>
          <w:szCs w:val="18"/>
          <w:b w:val="1"/>
          <w:bCs w:val="1"/>
          <w:color w:val="auto"/>
        </w:rPr>
        <w:t>onsemi</w:t>
      </w:r>
      <w:r>
        <w:rPr>
          <w:rFonts w:ascii="Arial" w:cs="Arial" w:eastAsia="Arial" w:hAnsi="Arial"/>
          <w:sz w:val="18"/>
          <w:szCs w:val="18"/>
          <w:color w:val="auto"/>
        </w:rPr>
        <w:t xml:space="preserve">”). This Policy also addresses the handling of confidential information about </w:t>
      </w:r>
      <w:r>
        <w:rPr>
          <w:rFonts w:ascii="Arial" w:cs="Arial" w:eastAsia="Arial" w:hAnsi="Arial"/>
          <w:sz w:val="18"/>
          <w:szCs w:val="18"/>
          <w:b w:val="1"/>
          <w:bCs w:val="1"/>
          <w:color w:val="auto"/>
        </w:rPr>
        <w:t xml:space="preserve">onsemi </w:t>
      </w:r>
      <w:r>
        <w:rPr>
          <w:rFonts w:ascii="Arial" w:cs="Arial" w:eastAsia="Arial" w:hAnsi="Arial"/>
          <w:sz w:val="18"/>
          <w:szCs w:val="18"/>
          <w:color w:val="auto"/>
        </w:rPr>
        <w:t>and other companies with which</w:t>
      </w:r>
      <w:r>
        <w:rPr>
          <w:rFonts w:ascii="Arial" w:cs="Arial" w:eastAsia="Arial" w:hAnsi="Arial"/>
          <w:sz w:val="18"/>
          <w:szCs w:val="18"/>
          <w:b w:val="1"/>
          <w:bCs w:val="1"/>
          <w:color w:val="auto"/>
        </w:rPr>
        <w:t xml:space="preserve"> onsemi </w:t>
      </w:r>
      <w:r>
        <w:rPr>
          <w:rFonts w:ascii="Arial" w:cs="Arial" w:eastAsia="Arial" w:hAnsi="Arial"/>
          <w:sz w:val="18"/>
          <w:szCs w:val="18"/>
          <w:color w:val="auto"/>
        </w:rPr>
        <w:t>may have a business relationship.</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has adopted this Policy to promote compliance with U.S. federal, state and foreign securities laws. In particular, these laws prohibit certain persons who are aware of material nonpublic information about a company from: (1) engaging in transactions in the securities of that company; or (2) providing material nonpublic information to other persons who may trade on the basis of that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Persons Subject to the Policy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This Policy applies to all officers and employees of </w:t>
      </w:r>
      <w:r>
        <w:rPr>
          <w:rFonts w:ascii="Arial" w:cs="Arial" w:eastAsia="Arial" w:hAnsi="Arial"/>
          <w:sz w:val="18"/>
          <w:szCs w:val="18"/>
          <w:b w:val="1"/>
          <w:bCs w:val="1"/>
          <w:color w:val="auto"/>
        </w:rPr>
        <w:t>onsemi</w:t>
      </w:r>
      <w:r>
        <w:rPr>
          <w:rFonts w:ascii="Arial" w:cs="Arial" w:eastAsia="Arial" w:hAnsi="Arial"/>
          <w:sz w:val="18"/>
          <w:szCs w:val="18"/>
          <w:color w:val="auto"/>
        </w:rPr>
        <w:t xml:space="preserve"> and all members of the Board. </w:t>
      </w:r>
      <w:r>
        <w:rPr>
          <w:rFonts w:ascii="Arial" w:cs="Arial" w:eastAsia="Arial" w:hAnsi="Arial"/>
          <w:sz w:val="18"/>
          <w:szCs w:val="18"/>
          <w:b w:val="1"/>
          <w:bCs w:val="1"/>
          <w:color w:val="auto"/>
        </w:rPr>
        <w:t>onsemi</w:t>
      </w:r>
      <w:r>
        <w:rPr>
          <w:rFonts w:ascii="Arial" w:cs="Arial" w:eastAsia="Arial" w:hAnsi="Arial"/>
          <w:sz w:val="18"/>
          <w:szCs w:val="18"/>
          <w:color w:val="auto"/>
        </w:rPr>
        <w:t xml:space="preserve"> may also determine that certain additional persons should be subject to this Policy, such as contractors or consultants, based on the scope of their work and their level of access to information.</w:t>
      </w:r>
    </w:p>
    <w:p>
      <w:pPr>
        <w:spacing w:after="0" w:line="171"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color w:val="auto"/>
        </w:rPr>
        <w:t>This Policy also applies to family members, other members of a covered person’s household as well as entities controlled by a person covered by this Policy (together, “</w:t>
      </w:r>
      <w:r>
        <w:rPr>
          <w:rFonts w:ascii="Arial" w:cs="Arial" w:eastAsia="Arial" w:hAnsi="Arial"/>
          <w:sz w:val="18"/>
          <w:szCs w:val="18"/>
          <w:b w:val="1"/>
          <w:bCs w:val="1"/>
          <w:color w:val="auto"/>
        </w:rPr>
        <w:t>Affiliates</w:t>
      </w:r>
      <w:r>
        <w:rPr>
          <w:rFonts w:ascii="Arial" w:cs="Arial" w:eastAsia="Arial" w:hAnsi="Arial"/>
          <w:sz w:val="18"/>
          <w:szCs w:val="18"/>
          <w:color w:val="auto"/>
        </w:rPr>
        <w:t>”), as discussed below under “Transactions by Family Members and Controlled Entities.”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Policy does not apply to transactions by or on behalf of the Company or any other </w:t>
      </w:r>
      <w:r>
        <w:rPr>
          <w:rFonts w:ascii="Arial" w:cs="Arial" w:eastAsia="Arial" w:hAnsi="Arial"/>
          <w:sz w:val="18"/>
          <w:szCs w:val="18"/>
          <w:b w:val="1"/>
          <w:bCs w:val="1"/>
          <w:color w:val="auto"/>
        </w:rPr>
        <w:t>onsemi</w:t>
      </w:r>
      <w:r>
        <w:rPr>
          <w:rFonts w:ascii="Arial" w:cs="Arial" w:eastAsia="Arial" w:hAnsi="Arial"/>
          <w:sz w:val="18"/>
          <w:szCs w:val="18"/>
          <w:color w:val="auto"/>
        </w:rPr>
        <w:t xml:space="preserve">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Subject to the Policy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Policy applies to transactions in the Company’s securities (collectively referred to in this Policy as “</w:t>
      </w:r>
      <w:r>
        <w:rPr>
          <w:rFonts w:ascii="Arial" w:cs="Arial" w:eastAsia="Arial" w:hAnsi="Arial"/>
          <w:sz w:val="18"/>
          <w:szCs w:val="18"/>
          <w:b w:val="1"/>
          <w:bCs w:val="1"/>
          <w:color w:val="auto"/>
        </w:rPr>
        <w:t>Company Securities</w:t>
      </w:r>
      <w:r>
        <w:rPr>
          <w:rFonts w:ascii="Arial" w:cs="Arial" w:eastAsia="Arial" w:hAnsi="Arial"/>
          <w:sz w:val="18"/>
          <w:szCs w:val="18"/>
          <w:color w:val="auto"/>
        </w:rPr>
        <w:t>”), including the Company’s common stock or any other type of securities that the Company may issue, including (but not limited to) preferred stock, convertible debentures and warrants. This Policy also applies to certain derivative securities that are issued by a third party rather than the Company, such as exchange-traded put or call options or swaps relating to the Company Securities.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Transactions subject to this Policy include purchases, sales and other transfers of Company Securities. Certain transactions involving bona fide gifts or Company Securities purchased or received as equity awards under </w:t>
      </w:r>
      <w:r>
        <w:rPr>
          <w:rFonts w:ascii="Arial" w:cs="Arial" w:eastAsia="Arial" w:hAnsi="Arial"/>
          <w:sz w:val="18"/>
          <w:szCs w:val="18"/>
          <w:b w:val="1"/>
          <w:bCs w:val="1"/>
          <w:color w:val="auto"/>
        </w:rPr>
        <w:t>onsemi</w:t>
      </w:r>
      <w:r>
        <w:rPr>
          <w:rFonts w:ascii="Arial" w:cs="Arial" w:eastAsia="Arial" w:hAnsi="Arial"/>
          <w:sz w:val="18"/>
          <w:szCs w:val="18"/>
          <w:color w:val="auto"/>
        </w:rPr>
        <w:t xml:space="preserve"> equity compensation plans may be subject to the Policy, as described under “Special Rules for Certain Transactions.” This Policy may also apply to transactions in another company’s securities, as discussed under “Statement of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As amended and restated on November 16,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359"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Policy does not apply to transactions in mutual funds, exchange-traded funds or similar diversified investment vehicles that may invest in Company Securities (such as a mutual fund that tracks the S&amp;P 500) as determined by a third party not controlled by, influenced by or related to the covered person.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Individual Responsibility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Each person subject to this Policy has ethical and legal obligations to maintain the confidentiality of information about </w:t>
      </w:r>
      <w:r>
        <w:rPr>
          <w:rFonts w:ascii="Arial" w:cs="Arial" w:eastAsia="Arial" w:hAnsi="Arial"/>
          <w:sz w:val="18"/>
          <w:szCs w:val="18"/>
          <w:b w:val="1"/>
          <w:bCs w:val="1"/>
          <w:color w:val="auto"/>
        </w:rPr>
        <w:t>onsemi</w:t>
      </w:r>
      <w:r>
        <w:rPr>
          <w:rFonts w:ascii="Arial" w:cs="Arial" w:eastAsia="Arial" w:hAnsi="Arial"/>
          <w:sz w:val="18"/>
          <w:szCs w:val="18"/>
          <w:color w:val="auto"/>
        </w:rPr>
        <w:t xml:space="preserve"> and to not engage in transactions in Company Securities while in possession of material nonpublic information (defined below). Persons subject to this Policy must not engage in illegal trading and must avoid the appearance of improper trading. Each individual is responsible for making sure that he, she or they comply with this Policy, and that his, her or their Affiliates also comply with this Policy.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all cases, the responsibility for determining whether an individual is in possession of material nonpublic information and the decision to trade rests with that individual. Any action by </w:t>
      </w:r>
      <w:r>
        <w:rPr>
          <w:rFonts w:ascii="Arial" w:cs="Arial" w:eastAsia="Arial" w:hAnsi="Arial"/>
          <w:sz w:val="18"/>
          <w:szCs w:val="18"/>
          <w:b w:val="1"/>
          <w:bCs w:val="1"/>
          <w:color w:val="auto"/>
        </w:rPr>
        <w:t>onsemi</w:t>
      </w:r>
      <w:r>
        <w:rPr>
          <w:rFonts w:ascii="Arial" w:cs="Arial" w:eastAsia="Arial" w:hAnsi="Arial"/>
          <w:sz w:val="18"/>
          <w:szCs w:val="18"/>
          <w:color w:val="auto"/>
        </w:rPr>
        <w:t>, the Company, the Chief Compliance Officer (“</w:t>
      </w:r>
      <w:r>
        <w:rPr>
          <w:rFonts w:ascii="Arial" w:cs="Arial" w:eastAsia="Arial" w:hAnsi="Arial"/>
          <w:sz w:val="18"/>
          <w:szCs w:val="18"/>
          <w:b w:val="1"/>
          <w:bCs w:val="1"/>
          <w:color w:val="auto"/>
        </w:rPr>
        <w:t>CCO</w:t>
      </w:r>
      <w:r>
        <w:rPr>
          <w:rFonts w:ascii="Arial" w:cs="Arial" w:eastAsia="Arial" w:hAnsi="Arial"/>
          <w:sz w:val="18"/>
          <w:szCs w:val="18"/>
          <w:color w:val="auto"/>
        </w:rPr>
        <w:t xml:space="preserve">”), his, her or their designees or any other employee or service provider of </w:t>
      </w:r>
      <w:r>
        <w:rPr>
          <w:rFonts w:ascii="Arial" w:cs="Arial" w:eastAsia="Arial" w:hAnsi="Arial"/>
          <w:sz w:val="18"/>
          <w:szCs w:val="18"/>
          <w:b w:val="1"/>
          <w:bCs w:val="1"/>
          <w:color w:val="auto"/>
        </w:rPr>
        <w:t>onsemi</w:t>
      </w:r>
      <w:r>
        <w:rPr>
          <w:rFonts w:ascii="Arial" w:cs="Arial" w:eastAsia="Arial" w:hAnsi="Arial"/>
          <w:sz w:val="18"/>
          <w:szCs w:val="18"/>
          <w:color w:val="auto"/>
        </w:rPr>
        <w:t xml:space="preserve"> does not in any way constitute legal advice, shift responsibility from the individual or insulate the individual from potential liability under applicable securities laws. An individual who engages in conduct prohibited by this Policy or applicable securities laws could be subject to severe legal penalties as well as disciplinary action by </w:t>
      </w:r>
      <w:r>
        <w:rPr>
          <w:rFonts w:ascii="Arial" w:cs="Arial" w:eastAsia="Arial" w:hAnsi="Arial"/>
          <w:sz w:val="18"/>
          <w:szCs w:val="18"/>
          <w:b w:val="1"/>
          <w:bCs w:val="1"/>
          <w:color w:val="auto"/>
        </w:rPr>
        <w:t>onsemi</w:t>
      </w:r>
      <w:r>
        <w:rPr>
          <w:rFonts w:ascii="Arial" w:cs="Arial" w:eastAsia="Arial" w:hAnsi="Arial"/>
          <w:sz w:val="18"/>
          <w:szCs w:val="18"/>
          <w:color w:val="auto"/>
        </w:rPr>
        <w:t>, as described below in more detail under the heading “Consequences of Violations.”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Administration of the Policy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Chief Legal Officer of </w:t>
      </w:r>
      <w:r>
        <w:rPr>
          <w:rFonts w:ascii="Arial" w:cs="Arial" w:eastAsia="Arial" w:hAnsi="Arial"/>
          <w:sz w:val="18"/>
          <w:szCs w:val="18"/>
          <w:b w:val="1"/>
          <w:bCs w:val="1"/>
          <w:color w:val="auto"/>
        </w:rPr>
        <w:t>onsemi</w:t>
      </w:r>
      <w:r>
        <w:rPr>
          <w:rFonts w:ascii="Arial" w:cs="Arial" w:eastAsia="Arial" w:hAnsi="Arial"/>
          <w:sz w:val="18"/>
          <w:szCs w:val="18"/>
          <w:color w:val="auto"/>
        </w:rPr>
        <w:t xml:space="preserve"> serves as the CCO for the purposes of this Policy and has designated certain members of the Law Department to assist in administering the Policy as noted on </w:t>
      </w:r>
      <w:r>
        <w:rPr>
          <w:rFonts w:ascii="Arial" w:cs="Arial" w:eastAsia="Arial" w:hAnsi="Arial"/>
          <w:sz w:val="18"/>
          <w:szCs w:val="18"/>
          <w:u w:val="single" w:color="auto"/>
          <w:color w:val="auto"/>
        </w:rPr>
        <w:t>Appendix 4</w:t>
      </w:r>
      <w:r>
        <w:rPr>
          <w:rFonts w:ascii="Arial" w:cs="Arial" w:eastAsia="Arial" w:hAnsi="Arial"/>
          <w:sz w:val="18"/>
          <w:szCs w:val="18"/>
          <w:color w:val="auto"/>
        </w:rPr>
        <w:t xml:space="preserve"> (“</w:t>
      </w:r>
      <w:r>
        <w:rPr>
          <w:rFonts w:ascii="Arial" w:cs="Arial" w:eastAsia="Arial" w:hAnsi="Arial"/>
          <w:sz w:val="18"/>
          <w:szCs w:val="18"/>
          <w:b w:val="1"/>
          <w:bCs w:val="1"/>
          <w:color w:val="auto"/>
        </w:rPr>
        <w:t>Designees</w:t>
      </w:r>
      <w:r>
        <w:rPr>
          <w:rFonts w:ascii="Arial" w:cs="Arial" w:eastAsia="Arial" w:hAnsi="Arial"/>
          <w:sz w:val="18"/>
          <w:szCs w:val="18"/>
          <w:color w:val="auto"/>
        </w:rPr>
        <w:t xml:space="preserve">”). For questions about this Policy or a proposed purchase or sale of Company Securities, please email [***]or contact the CCO or Designees by any of the methods listed on </w:t>
      </w:r>
      <w:r>
        <w:rPr>
          <w:rFonts w:ascii="Arial" w:cs="Arial" w:eastAsia="Arial" w:hAnsi="Arial"/>
          <w:sz w:val="18"/>
          <w:szCs w:val="18"/>
          <w:u w:val="single" w:color="auto"/>
          <w:color w:val="auto"/>
        </w:rPr>
        <w:t>Appendix 4</w:t>
      </w:r>
      <w:r>
        <w:rPr>
          <w:rFonts w:ascii="Arial" w:cs="Arial" w:eastAsia="Arial" w:hAnsi="Arial"/>
          <w:sz w:val="18"/>
          <w:szCs w:val="18"/>
          <w:color w:val="auto"/>
        </w:rPr>
        <w:t>. All determinations and interpretations by the CCO are final and not subject to further review.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 is the policy of </w:t>
      </w:r>
      <w:r>
        <w:rPr>
          <w:rFonts w:ascii="Arial" w:cs="Arial" w:eastAsia="Arial" w:hAnsi="Arial"/>
          <w:sz w:val="18"/>
          <w:szCs w:val="18"/>
          <w:b w:val="1"/>
          <w:bCs w:val="1"/>
          <w:color w:val="auto"/>
        </w:rPr>
        <w:t>onsemi</w:t>
      </w:r>
      <w:r>
        <w:rPr>
          <w:rFonts w:ascii="Arial" w:cs="Arial" w:eastAsia="Arial" w:hAnsi="Arial"/>
          <w:sz w:val="18"/>
          <w:szCs w:val="18"/>
          <w:color w:val="auto"/>
        </w:rPr>
        <w:t xml:space="preserve"> that:</w:t>
      </w:r>
    </w:p>
    <w:p>
      <w:pPr>
        <w:spacing w:after="0" w:line="225" w:lineRule="exact"/>
        <w:rPr>
          <w:sz w:val="20"/>
          <w:szCs w:val="20"/>
          <w:color w:val="auto"/>
        </w:rPr>
      </w:pPr>
    </w:p>
    <w:p>
      <w:pPr>
        <w:ind w:left="340" w:hanging="332"/>
        <w:spacing w:after="0" w:line="287" w:lineRule="auto"/>
        <w:tabs>
          <w:tab w:leader="none" w:pos="3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No person subject to this Policy who is aware of material nonpublic information relating to </w:t>
      </w:r>
      <w:r>
        <w:rPr>
          <w:rFonts w:ascii="Arial" w:cs="Arial" w:eastAsia="Arial" w:hAnsi="Arial"/>
          <w:sz w:val="18"/>
          <w:szCs w:val="18"/>
          <w:b w:val="1"/>
          <w:bCs w:val="1"/>
          <w:color w:val="auto"/>
        </w:rPr>
        <w:t>onsemi</w:t>
      </w:r>
      <w:r>
        <w:rPr>
          <w:rFonts w:ascii="Arial" w:cs="Arial" w:eastAsia="Arial" w:hAnsi="Arial"/>
          <w:sz w:val="18"/>
          <w:szCs w:val="18"/>
          <w:color w:val="auto"/>
        </w:rPr>
        <w:t xml:space="preserve"> may, directly or indirectly through his, her or their Affiliates:</w:t>
      </w:r>
    </w:p>
    <w:p>
      <w:pPr>
        <w:spacing w:after="0" w:line="152" w:lineRule="exact"/>
        <w:rPr>
          <w:rFonts w:ascii="Arial" w:cs="Arial" w:eastAsia="Arial" w:hAnsi="Arial"/>
          <w:sz w:val="18"/>
          <w:szCs w:val="18"/>
          <w:color w:val="auto"/>
        </w:rPr>
      </w:pPr>
    </w:p>
    <w:p>
      <w:pPr>
        <w:ind w:left="740" w:hanging="318"/>
        <w:spacing w:after="0" w:line="287" w:lineRule="auto"/>
        <w:tabs>
          <w:tab w:leader="none" w:pos="717" w:val="left"/>
        </w:tabs>
        <w:numPr>
          <w:ilvl w:val="1"/>
          <w:numId w:val="58"/>
        </w:numPr>
        <w:rPr>
          <w:rFonts w:ascii="Arial" w:cs="Arial" w:eastAsia="Arial" w:hAnsi="Arial"/>
          <w:sz w:val="18"/>
          <w:szCs w:val="18"/>
          <w:color w:val="231F20"/>
        </w:rPr>
      </w:pPr>
      <w:r>
        <w:rPr>
          <w:rFonts w:ascii="Arial" w:cs="Arial" w:eastAsia="Arial" w:hAnsi="Arial"/>
          <w:sz w:val="18"/>
          <w:szCs w:val="18"/>
          <w:color w:val="auto"/>
        </w:rPr>
        <w:t>Engage in transactions in Company Securities, except as otherwise specified in this Policy under the headings “Special Rules for Certain Transactions” and “Rule 10b5-1 Plans”;</w:t>
      </w:r>
    </w:p>
    <w:p>
      <w:pPr>
        <w:spacing w:after="0" w:line="152" w:lineRule="exact"/>
        <w:rPr>
          <w:rFonts w:ascii="Arial" w:cs="Arial" w:eastAsia="Arial" w:hAnsi="Arial"/>
          <w:sz w:val="18"/>
          <w:szCs w:val="18"/>
          <w:color w:val="231F20"/>
        </w:rPr>
      </w:pPr>
    </w:p>
    <w:p>
      <w:pPr>
        <w:ind w:left="720" w:hanging="298"/>
        <w:spacing w:after="0"/>
        <w:tabs>
          <w:tab w:leader="none" w:pos="720" w:val="left"/>
        </w:tabs>
        <w:numPr>
          <w:ilvl w:val="1"/>
          <w:numId w:val="58"/>
        </w:numPr>
        <w:rPr>
          <w:rFonts w:ascii="Arial" w:cs="Arial" w:eastAsia="Arial" w:hAnsi="Arial"/>
          <w:sz w:val="18"/>
          <w:szCs w:val="18"/>
          <w:color w:val="231F20"/>
        </w:rPr>
      </w:pPr>
      <w:r>
        <w:rPr>
          <w:rFonts w:ascii="Arial" w:cs="Arial" w:eastAsia="Arial" w:hAnsi="Arial"/>
          <w:sz w:val="18"/>
          <w:szCs w:val="18"/>
          <w:color w:val="auto"/>
        </w:rPr>
        <w:t>Recommend that others engage in transactions in any Company Securities (also known as “tipping”);</w:t>
      </w:r>
    </w:p>
    <w:p>
      <w:pPr>
        <w:spacing w:after="0" w:line="225" w:lineRule="exact"/>
        <w:rPr>
          <w:rFonts w:ascii="Arial" w:cs="Arial" w:eastAsia="Arial" w:hAnsi="Arial"/>
          <w:sz w:val="18"/>
          <w:szCs w:val="18"/>
          <w:color w:val="231F20"/>
        </w:rPr>
      </w:pPr>
    </w:p>
    <w:p>
      <w:pPr>
        <w:jc w:val="both"/>
        <w:ind w:left="740" w:hanging="318"/>
        <w:spacing w:after="0" w:line="273" w:lineRule="auto"/>
        <w:tabs>
          <w:tab w:leader="none" w:pos="707" w:val="left"/>
        </w:tabs>
        <w:numPr>
          <w:ilvl w:val="1"/>
          <w:numId w:val="58"/>
        </w:numPr>
        <w:rPr>
          <w:rFonts w:ascii="Arial" w:cs="Arial" w:eastAsia="Arial" w:hAnsi="Arial"/>
          <w:sz w:val="18"/>
          <w:szCs w:val="18"/>
          <w:color w:val="231F20"/>
        </w:rPr>
      </w:pPr>
      <w:r>
        <w:rPr>
          <w:rFonts w:ascii="Arial" w:cs="Arial" w:eastAsia="Arial" w:hAnsi="Arial"/>
          <w:sz w:val="18"/>
          <w:szCs w:val="18"/>
          <w:color w:val="auto"/>
        </w:rPr>
        <w:t xml:space="preserve">Disclose material nonpublic information to (i) persons within </w:t>
      </w:r>
      <w:r>
        <w:rPr>
          <w:rFonts w:ascii="Arial" w:cs="Arial" w:eastAsia="Arial" w:hAnsi="Arial"/>
          <w:sz w:val="18"/>
          <w:szCs w:val="18"/>
          <w:b w:val="1"/>
          <w:bCs w:val="1"/>
          <w:color w:val="auto"/>
        </w:rPr>
        <w:t>onsemi</w:t>
      </w:r>
      <w:r>
        <w:rPr>
          <w:rFonts w:ascii="Arial" w:cs="Arial" w:eastAsia="Arial" w:hAnsi="Arial"/>
          <w:sz w:val="18"/>
          <w:szCs w:val="18"/>
          <w:color w:val="auto"/>
        </w:rPr>
        <w:t xml:space="preserve"> whose jobs do not require them to have that information or (ii) persons outside of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including, but not limited to, family, friends, business associates, investors and expert consulting firms, unless, in each case, such disclosure is made in accordance with any written </w:t>
      </w:r>
      <w:r>
        <w:rPr>
          <w:rFonts w:ascii="Arial" w:cs="Arial" w:eastAsia="Arial" w:hAnsi="Arial"/>
          <w:sz w:val="18"/>
          <w:szCs w:val="18"/>
          <w:b w:val="1"/>
          <w:bCs w:val="1"/>
          <w:color w:val="auto"/>
        </w:rPr>
        <w:t>onsemi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As amended and restated on November 16,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policies regarding the protection or authorized disclosure of confidential or proprietary information; or</w:t>
      </w:r>
    </w:p>
    <w:p>
      <w:pPr>
        <w:spacing w:after="0" w:line="225" w:lineRule="exact"/>
        <w:rPr>
          <w:sz w:val="20"/>
          <w:szCs w:val="20"/>
          <w:color w:val="auto"/>
        </w:rPr>
      </w:pPr>
    </w:p>
    <w:p>
      <w:pPr>
        <w:ind w:left="720" w:hanging="298"/>
        <w:spacing w:after="0"/>
        <w:tabs>
          <w:tab w:leader="none" w:pos="720" w:val="left"/>
        </w:tabs>
        <w:numPr>
          <w:ilvl w:val="2"/>
          <w:numId w:val="59"/>
        </w:numPr>
        <w:rPr>
          <w:rFonts w:ascii="Arial" w:cs="Arial" w:eastAsia="Arial" w:hAnsi="Arial"/>
          <w:sz w:val="18"/>
          <w:szCs w:val="18"/>
          <w:color w:val="231F20"/>
        </w:rPr>
      </w:pPr>
      <w:r>
        <w:rPr>
          <w:rFonts w:ascii="Arial" w:cs="Arial" w:eastAsia="Arial" w:hAnsi="Arial"/>
          <w:sz w:val="18"/>
          <w:szCs w:val="18"/>
          <w:color w:val="auto"/>
        </w:rPr>
        <w:t>Assist anyone engaged in the above activities.</w:t>
      </w:r>
    </w:p>
    <w:p>
      <w:pPr>
        <w:spacing w:after="0" w:line="225" w:lineRule="exact"/>
        <w:rPr>
          <w:rFonts w:ascii="Arial" w:cs="Arial" w:eastAsia="Arial" w:hAnsi="Arial"/>
          <w:sz w:val="18"/>
          <w:szCs w:val="18"/>
          <w:color w:val="231F20"/>
        </w:rPr>
      </w:pPr>
    </w:p>
    <w:p>
      <w:pPr>
        <w:jc w:val="both"/>
        <w:ind w:left="340" w:hanging="332"/>
        <w:spacing w:after="0" w:line="260" w:lineRule="auto"/>
        <w:tabs>
          <w:tab w:leader="none" w:pos="317"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No person subject to this Policy who, in the course of their employment or service relationship with </w:t>
      </w:r>
      <w:r>
        <w:rPr>
          <w:rFonts w:ascii="Arial" w:cs="Arial" w:eastAsia="Arial" w:hAnsi="Arial"/>
          <w:sz w:val="18"/>
          <w:szCs w:val="18"/>
          <w:b w:val="1"/>
          <w:bCs w:val="1"/>
          <w:color w:val="auto"/>
        </w:rPr>
        <w:t>onsemi</w:t>
      </w:r>
      <w:r>
        <w:rPr>
          <w:rFonts w:ascii="Arial" w:cs="Arial" w:eastAsia="Arial" w:hAnsi="Arial"/>
          <w:sz w:val="18"/>
          <w:szCs w:val="18"/>
          <w:color w:val="auto"/>
        </w:rPr>
        <w:t xml:space="preserve">, learns of material nonpublic information about a company (a) with which </w:t>
      </w:r>
      <w:r>
        <w:rPr>
          <w:rFonts w:ascii="Arial" w:cs="Arial" w:eastAsia="Arial" w:hAnsi="Arial"/>
          <w:sz w:val="18"/>
          <w:szCs w:val="18"/>
          <w:b w:val="1"/>
          <w:bCs w:val="1"/>
          <w:color w:val="auto"/>
        </w:rPr>
        <w:t>onsemi</w:t>
      </w:r>
      <w:r>
        <w:rPr>
          <w:rFonts w:ascii="Arial" w:cs="Arial" w:eastAsia="Arial" w:hAnsi="Arial"/>
          <w:sz w:val="18"/>
          <w:szCs w:val="18"/>
          <w:color w:val="auto"/>
        </w:rPr>
        <w:t xml:space="preserve"> does business, such as </w:t>
      </w:r>
      <w:r>
        <w:rPr>
          <w:rFonts w:ascii="Arial" w:cs="Arial" w:eastAsia="Arial" w:hAnsi="Arial"/>
          <w:sz w:val="18"/>
          <w:szCs w:val="18"/>
          <w:b w:val="1"/>
          <w:bCs w:val="1"/>
          <w:color w:val="auto"/>
        </w:rPr>
        <w:t>onsemi’s</w:t>
      </w:r>
      <w:r>
        <w:rPr>
          <w:rFonts w:ascii="Arial" w:cs="Arial" w:eastAsia="Arial" w:hAnsi="Arial"/>
          <w:sz w:val="18"/>
          <w:szCs w:val="18"/>
          <w:color w:val="auto"/>
        </w:rPr>
        <w:t xml:space="preserve"> distributors, vendors, customers and suppliers, or</w:t>
      </w:r>
    </w:p>
    <w:p>
      <w:pPr>
        <w:spacing w:after="0" w:line="1" w:lineRule="exact"/>
        <w:rPr>
          <w:rFonts w:ascii="Arial" w:cs="Arial" w:eastAsia="Arial" w:hAnsi="Arial"/>
          <w:sz w:val="18"/>
          <w:szCs w:val="18"/>
          <w:color w:val="auto"/>
        </w:rPr>
      </w:pPr>
    </w:p>
    <w:p>
      <w:pPr>
        <w:ind w:left="340" w:hanging="8"/>
        <w:spacing w:after="0" w:line="266" w:lineRule="auto"/>
        <w:tabs>
          <w:tab w:leader="none" w:pos="6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that is involved in a potential transaction or business relationship with </w:t>
      </w:r>
      <w:r>
        <w:rPr>
          <w:rFonts w:ascii="Arial" w:cs="Arial" w:eastAsia="Arial" w:hAnsi="Arial"/>
          <w:sz w:val="18"/>
          <w:szCs w:val="18"/>
          <w:b w:val="1"/>
          <w:bCs w:val="1"/>
          <w:color w:val="auto"/>
        </w:rPr>
        <w:t>onsemi</w:t>
      </w:r>
      <w:r>
        <w:rPr>
          <w:rFonts w:ascii="Arial" w:cs="Arial" w:eastAsia="Arial" w:hAnsi="Arial"/>
          <w:sz w:val="18"/>
          <w:szCs w:val="18"/>
          <w:color w:val="auto"/>
        </w:rPr>
        <w:t>, may engage in transactions in that company’s securities until the information becomes public or is no longer material.</w:t>
      </w:r>
    </w:p>
    <w:p>
      <w:pPr>
        <w:spacing w:after="0" w:line="171" w:lineRule="exact"/>
        <w:rPr>
          <w:rFonts w:ascii="Arial" w:cs="Arial" w:eastAsia="Arial" w:hAnsi="Arial"/>
          <w:sz w:val="18"/>
          <w:szCs w:val="18"/>
          <w:color w:val="auto"/>
        </w:rPr>
      </w:pPr>
    </w:p>
    <w:p>
      <w:pPr>
        <w:jc w:val="both"/>
        <w:ind w:left="340" w:hanging="332"/>
        <w:spacing w:after="0" w:line="268" w:lineRule="auto"/>
        <w:tabs>
          <w:tab w:leader="none" w:pos="303"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Persons subject to this Policy may be subject to additional restrictions on, or required to follow additional procedures before, trading in Company Securities (such as trading blackout periods and preclearance requirements), as detailed under “Additional Requirements and Procedures Applicable to Insiders.”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There are no exceptions to this Policy except those specifically provided in this Policy. Small transactions (whether in value or in number of shares) and transactions that may be necessary or justifiable for independent reasons (such as the need to raise money for an emergency expenditure) are not excepted from this Policy. The securities laws do not recognize any mitigating circumstances and, in any event, even the appearance of an improper transaction must be avoided to preserve </w:t>
      </w:r>
      <w:r>
        <w:rPr>
          <w:rFonts w:ascii="Arial" w:cs="Arial" w:eastAsia="Arial" w:hAnsi="Arial"/>
          <w:sz w:val="17"/>
          <w:szCs w:val="17"/>
          <w:b w:val="1"/>
          <w:bCs w:val="1"/>
          <w:color w:val="auto"/>
        </w:rPr>
        <w:t>onsemi’s</w:t>
      </w:r>
      <w:r>
        <w:rPr>
          <w:rFonts w:ascii="Arial" w:cs="Arial" w:eastAsia="Arial" w:hAnsi="Arial"/>
          <w:sz w:val="17"/>
          <w:szCs w:val="17"/>
          <w:color w:val="auto"/>
        </w:rPr>
        <w:t xml:space="preserve"> reputation for adhering to the highest standards of conduct.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 of Material Nonpublic Information</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used in this Policy, “material nonpublic information” (sometimes referred to as “insider information”) means information that (1) is not generally known to the public and (2) if publicly known, would be likely to affect either the market price of a company’s securities or a person’s decision to buy, sell or hold that company’s securities. The meanings of “</w:t>
      </w:r>
      <w:r>
        <w:rPr>
          <w:rFonts w:ascii="Arial" w:cs="Arial" w:eastAsia="Arial" w:hAnsi="Arial"/>
          <w:sz w:val="18"/>
          <w:szCs w:val="18"/>
          <w:u w:val="single" w:color="auto"/>
          <w:color w:val="auto"/>
        </w:rPr>
        <w:t>material</w:t>
      </w:r>
      <w:r>
        <w:rPr>
          <w:rFonts w:ascii="Arial" w:cs="Arial" w:eastAsia="Arial" w:hAnsi="Arial"/>
          <w:sz w:val="18"/>
          <w:szCs w:val="18"/>
          <w:color w:val="auto"/>
        </w:rPr>
        <w:t>” and “</w:t>
      </w:r>
      <w:r>
        <w:rPr>
          <w:rFonts w:ascii="Arial" w:cs="Arial" w:eastAsia="Arial" w:hAnsi="Arial"/>
          <w:sz w:val="18"/>
          <w:szCs w:val="18"/>
          <w:u w:val="single" w:color="auto"/>
          <w:color w:val="auto"/>
        </w:rPr>
        <w:t>nonpublic</w:t>
      </w:r>
      <w:r>
        <w:rPr>
          <w:rFonts w:ascii="Arial" w:cs="Arial" w:eastAsia="Arial" w:hAnsi="Arial"/>
          <w:sz w:val="18"/>
          <w:szCs w:val="18"/>
          <w:color w:val="auto"/>
        </w:rPr>
        <w:t>” are explained in greater detail below.</w:t>
      </w:r>
    </w:p>
    <w:p>
      <w:pPr>
        <w:spacing w:after="0" w:line="176"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u w:val="single" w:color="auto"/>
          <w:color w:val="auto"/>
        </w:rPr>
        <w:t>What Information is Material</w:t>
      </w:r>
      <w:r>
        <w:rPr>
          <w:rFonts w:ascii="Arial" w:cs="Arial" w:eastAsia="Arial" w:hAnsi="Arial"/>
          <w:sz w:val="18"/>
          <w:szCs w:val="18"/>
          <w:color w:val="auto"/>
        </w:rPr>
        <w:t>? Information is considered “material” if a reasonable investor would consider that information important in making a decision to buy, hold or sell securities. Any information that could be expected to affect a company’s stock price, whether positive or negative, should be considered material. There is no bright-line standard for assessing materiality; rather, materiality is based on an assessment of all facts and circumstances and is often evaluated by enforcement authorities with the benefit of hindsight.</w:t>
      </w:r>
    </w:p>
    <w:p>
      <w:pPr>
        <w:spacing w:after="0" w:line="176"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While it is not possible to define all categories of material information, some examples of information that ordinarily would be regarded as material are listed below. Note that this list is not intended to be all-inclusive; it is only intended to be used as a guide.</w:t>
      </w:r>
    </w:p>
    <w:p>
      <w:pPr>
        <w:spacing w:after="0" w:line="153" w:lineRule="exact"/>
        <w:rPr>
          <w:sz w:val="20"/>
          <w:szCs w:val="20"/>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Material Corporate Events, such as:</w:t>
      </w:r>
    </w:p>
    <w:p>
      <w:pPr>
        <w:spacing w:after="0" w:line="22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 change in senior management;</w:t>
      </w:r>
    </w:p>
    <w:p>
      <w:pPr>
        <w:spacing w:after="0" w:line="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 pending or proposed merger, acquisition or tender offer;</w:t>
      </w:r>
    </w:p>
    <w:p>
      <w:pPr>
        <w:spacing w:after="0" w:line="6" w:lineRule="exact"/>
        <w:rPr>
          <w:rFonts w:ascii="Times New Roman" w:cs="Times New Roman" w:eastAsia="Times New Roman" w:hAnsi="Times New Roman"/>
          <w:sz w:val="18"/>
          <w:szCs w:val="18"/>
          <w:color w:val="auto"/>
        </w:rPr>
      </w:pPr>
    </w:p>
    <w:p>
      <w:pPr>
        <w:ind w:left="980" w:right="4400"/>
        <w:spacing w:after="0" w:line="313" w:lineRule="auto"/>
        <w:rPr>
          <w:rFonts w:ascii="Times New Roman" w:cs="Times New Roman" w:eastAsia="Times New Roman" w:hAnsi="Times New Roman"/>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a pending or proposed acquisition or disposition of a significant asset;</w:t>
      </w:r>
      <w:r>
        <w:rPr>
          <w:rFonts w:ascii="Courier New" w:cs="Courier New" w:eastAsia="Courier New" w:hAnsi="Courier New"/>
          <w:sz w:val="18"/>
          <w:szCs w:val="18"/>
          <w:color w:val="auto"/>
        </w:rPr>
        <w:t xml:space="preserve"> o </w:t>
      </w:r>
      <w:r>
        <w:rPr>
          <w:rFonts w:ascii="Arial" w:cs="Arial" w:eastAsia="Arial" w:hAnsi="Arial"/>
          <w:sz w:val="18"/>
          <w:szCs w:val="18"/>
          <w:color w:val="auto"/>
        </w:rPr>
        <w:t>a pending or proposed joint venture;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As amended and restated on November 16,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60" w:hanging="320"/>
        <w:spacing w:after="0"/>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 xml:space="preserve">a restructuring of </w:t>
      </w:r>
      <w:r>
        <w:rPr>
          <w:rFonts w:ascii="Arial" w:cs="Arial" w:eastAsia="Arial" w:hAnsi="Arial"/>
          <w:sz w:val="18"/>
          <w:szCs w:val="18"/>
          <w:b w:val="1"/>
          <w:bCs w:val="1"/>
          <w:color w:val="auto"/>
        </w:rPr>
        <w:t>onsemi</w:t>
      </w:r>
      <w:r>
        <w:rPr>
          <w:rFonts w:ascii="Arial" w:cs="Arial" w:eastAsia="Arial" w:hAnsi="Arial"/>
          <w:sz w:val="18"/>
          <w:szCs w:val="18"/>
          <w:color w:val="auto"/>
        </w:rPr>
        <w:t>;</w:t>
      </w:r>
    </w:p>
    <w:p>
      <w:pPr>
        <w:spacing w:after="0" w:line="24"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plans to enter a new line of business;</w:t>
      </w:r>
    </w:p>
    <w:p>
      <w:pPr>
        <w:spacing w:after="0" w:line="9"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development of a significant new product, process or service;</w:t>
      </w:r>
    </w:p>
    <w:p>
      <w:pPr>
        <w:spacing w:after="0" w:line="9"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 xml:space="preserve">a significant change in </w:t>
      </w:r>
      <w:r>
        <w:rPr>
          <w:rFonts w:ascii="Arial" w:cs="Arial" w:eastAsia="Arial" w:hAnsi="Arial"/>
          <w:sz w:val="18"/>
          <w:szCs w:val="18"/>
          <w:b w:val="1"/>
          <w:bCs w:val="1"/>
          <w:color w:val="auto"/>
        </w:rPr>
        <w:t>onsemi’s</w:t>
      </w:r>
      <w:r>
        <w:rPr>
          <w:rFonts w:ascii="Arial" w:cs="Arial" w:eastAsia="Arial" w:hAnsi="Arial"/>
          <w:sz w:val="18"/>
          <w:szCs w:val="18"/>
          <w:color w:val="auto"/>
        </w:rPr>
        <w:t xml:space="preserve"> pricing or cost structure;</w:t>
      </w:r>
    </w:p>
    <w:p>
      <w:pPr>
        <w:spacing w:after="0" w:line="6"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major marketing changes (such as a new marketing strategy);</w:t>
      </w:r>
    </w:p>
    <w:p>
      <w:pPr>
        <w:spacing w:after="0" w:line="9"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pending or threatened significant litigation or the resolution of such litigation;</w:t>
      </w:r>
    </w:p>
    <w:p>
      <w:pPr>
        <w:spacing w:after="0" w:line="9"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pending or threatened significant governmental investigations or regulatory actions or the resolution of such actions;</w:t>
      </w:r>
    </w:p>
    <w:p>
      <w:pPr>
        <w:spacing w:after="0" w:line="9" w:lineRule="exact"/>
        <w:rPr>
          <w:rFonts w:ascii="Courier New" w:cs="Courier New" w:eastAsia="Courier New" w:hAnsi="Courier New"/>
          <w:sz w:val="18"/>
          <w:szCs w:val="18"/>
          <w:color w:val="auto"/>
        </w:rPr>
      </w:pPr>
    </w:p>
    <w:p>
      <w:pPr>
        <w:jc w:val="both"/>
        <w:ind w:left="960" w:hanging="320"/>
        <w:spacing w:after="0" w:line="249" w:lineRule="auto"/>
        <w:tabs>
          <w:tab w:leader="none" w:pos="957"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 xml:space="preserve">a significant cybersecurity incident, such as a data breach, or any other significant disruption in </w:t>
      </w:r>
      <w:r>
        <w:rPr>
          <w:rFonts w:ascii="Arial" w:cs="Arial" w:eastAsia="Arial" w:hAnsi="Arial"/>
          <w:sz w:val="18"/>
          <w:szCs w:val="18"/>
          <w:b w:val="1"/>
          <w:bCs w:val="1"/>
          <w:color w:val="auto"/>
        </w:rPr>
        <w:t>onsemi’s</w:t>
      </w:r>
      <w:r>
        <w:rPr>
          <w:rFonts w:ascii="Arial" w:cs="Arial" w:eastAsia="Arial" w:hAnsi="Arial"/>
          <w:sz w:val="18"/>
          <w:szCs w:val="18"/>
          <w:color w:val="auto"/>
        </w:rPr>
        <w:t xml:space="preserve"> operations or a loss, potential loss, breach or unauthorized access of </w:t>
      </w:r>
      <w:r>
        <w:rPr>
          <w:rFonts w:ascii="Arial" w:cs="Arial" w:eastAsia="Arial" w:hAnsi="Arial"/>
          <w:sz w:val="18"/>
          <w:szCs w:val="18"/>
          <w:b w:val="1"/>
          <w:bCs w:val="1"/>
          <w:color w:val="auto"/>
        </w:rPr>
        <w:t>onsemi’s</w:t>
      </w:r>
      <w:r>
        <w:rPr>
          <w:rFonts w:ascii="Arial" w:cs="Arial" w:eastAsia="Arial" w:hAnsi="Arial"/>
          <w:sz w:val="18"/>
          <w:szCs w:val="18"/>
          <w:color w:val="auto"/>
        </w:rPr>
        <w:t xml:space="preserve"> property or assets, whether at our facilities or through our information technology infrastructure; or</w:t>
      </w:r>
    </w:p>
    <w:p>
      <w:pPr>
        <w:ind w:left="960" w:hanging="320"/>
        <w:spacing w:after="0" w:line="263" w:lineRule="auto"/>
        <w:tabs>
          <w:tab w:leader="none" w:pos="957"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the imposition of a ban on trading in Company Securities or the securities of another company or the extension or termination of such restriction.</w:t>
      </w:r>
    </w:p>
    <w:p>
      <w:pPr>
        <w:spacing w:after="0" w:line="199" w:lineRule="exact"/>
        <w:rPr>
          <w:rFonts w:ascii="Courier New" w:cs="Courier New" w:eastAsia="Courier New" w:hAnsi="Courier New"/>
          <w:sz w:val="18"/>
          <w:szCs w:val="18"/>
          <w:color w:val="auto"/>
        </w:rPr>
      </w:pPr>
    </w:p>
    <w:p>
      <w:pPr>
        <w:ind w:left="640" w:hanging="324"/>
        <w:spacing w:after="0"/>
        <w:tabs>
          <w:tab w:leader="none" w:pos="6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Condition and Reporting, such as:</w:t>
      </w:r>
    </w:p>
    <w:p>
      <w:pPr>
        <w:spacing w:after="0" w:line="224"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projections of future earnings or losses, or other earnings guidance;</w:t>
      </w:r>
    </w:p>
    <w:p>
      <w:pPr>
        <w:spacing w:after="0" w:line="24"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changes to previously-announced earnings guidance or a decision to suspend earnings guidance;</w:t>
      </w:r>
    </w:p>
    <w:p>
      <w:pPr>
        <w:spacing w:after="0" w:line="9"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restatements of, or adjustments to, previously-reported earnings;</w:t>
      </w:r>
    </w:p>
    <w:p>
      <w:pPr>
        <w:spacing w:after="0" w:line="9"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purchases, sales or revaluations of assets;</w:t>
      </w:r>
    </w:p>
    <w:p>
      <w:pPr>
        <w:spacing w:after="0" w:line="9"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changes in dividend policy, the declaration of a stock split or an offering of additional securities;</w:t>
      </w:r>
    </w:p>
    <w:p>
      <w:pPr>
        <w:spacing w:after="0" w:line="9"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bank borrowings or other financing transactions out of the ordinary course;</w:t>
      </w:r>
    </w:p>
    <w:p>
      <w:pPr>
        <w:spacing w:after="0" w:line="9"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the establishment of a repurchase program for Company Securities;</w:t>
      </w:r>
    </w:p>
    <w:p>
      <w:pPr>
        <w:spacing w:after="0" w:line="9"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solvency issues such as litigation, final judgments or loan defaults;</w:t>
      </w:r>
    </w:p>
    <w:p>
      <w:pPr>
        <w:spacing w:after="0" w:line="9"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losses of major clients or contracts; or</w:t>
      </w:r>
    </w:p>
    <w:p>
      <w:pPr>
        <w:spacing w:after="0" w:line="9" w:lineRule="exact"/>
        <w:rPr>
          <w:rFonts w:ascii="Courier New" w:cs="Courier New" w:eastAsia="Courier New" w:hAnsi="Courier New"/>
          <w:sz w:val="18"/>
          <w:szCs w:val="18"/>
          <w:color w:val="auto"/>
        </w:rPr>
      </w:pPr>
    </w:p>
    <w:p>
      <w:pPr>
        <w:ind w:left="960" w:hanging="320"/>
        <w:spacing w:after="0" w:line="237" w:lineRule="auto"/>
        <w:tabs>
          <w:tab w:leader="none" w:pos="960" w:val="left"/>
        </w:tabs>
        <w:numPr>
          <w:ilvl w:val="1"/>
          <w:numId w:val="62"/>
        </w:numPr>
        <w:rPr>
          <w:rFonts w:ascii="Courier New" w:cs="Courier New" w:eastAsia="Courier New" w:hAnsi="Courier New"/>
          <w:sz w:val="18"/>
          <w:szCs w:val="18"/>
          <w:color w:val="auto"/>
        </w:rPr>
      </w:pPr>
      <w:r>
        <w:rPr>
          <w:rFonts w:ascii="Arial" w:cs="Arial" w:eastAsia="Arial" w:hAnsi="Arial"/>
          <w:sz w:val="18"/>
          <w:szCs w:val="18"/>
          <w:color w:val="auto"/>
        </w:rPr>
        <w:t>a change in auditors or notification that the auditor’s reports may no longer be relied upon.</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When is Information Public</w:t>
      </w:r>
      <w:r>
        <w:rPr>
          <w:rFonts w:ascii="Arial" w:cs="Arial" w:eastAsia="Arial" w:hAnsi="Arial"/>
          <w:sz w:val="18"/>
          <w:szCs w:val="18"/>
          <w:color w:val="auto"/>
        </w:rPr>
        <w:t xml:space="preserve">? Information that has not been disclosed to the public is generally considered to be nonpublic information. To establish that the information has been disclosed to the public, it may be necessary to show that the information has been widely disseminated. Information generally would be considered widely disseminated if it has been disclosed in a press release through the newswire services, broadcast on widely-available television programs, published in a widely-available newspaper, magazine or news website, disclosed in documents filed with the SEC, or posted on </w:t>
      </w:r>
      <w:r>
        <w:rPr>
          <w:rFonts w:ascii="Arial" w:cs="Arial" w:eastAsia="Arial" w:hAnsi="Arial"/>
          <w:sz w:val="18"/>
          <w:szCs w:val="18"/>
          <w:b w:val="1"/>
          <w:bCs w:val="1"/>
          <w:color w:val="auto"/>
        </w:rPr>
        <w:t>onsemi</w:t>
      </w:r>
      <w:r>
        <w:rPr>
          <w:rFonts w:ascii="Arial" w:cs="Arial" w:eastAsia="Arial" w:hAnsi="Arial"/>
          <w:sz w:val="18"/>
          <w:szCs w:val="18"/>
          <w:color w:val="auto"/>
        </w:rPr>
        <w:t xml:space="preserve">’s public website (onsemi.com). By contrast, information would likely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considered widely disseminated if it is available only to </w:t>
      </w:r>
      <w:r>
        <w:rPr>
          <w:rFonts w:ascii="Arial" w:cs="Arial" w:eastAsia="Arial" w:hAnsi="Arial"/>
          <w:sz w:val="18"/>
          <w:szCs w:val="18"/>
          <w:b w:val="1"/>
          <w:bCs w:val="1"/>
          <w:color w:val="auto"/>
        </w:rPr>
        <w:t>onsemi</w:t>
      </w:r>
      <w:r>
        <w:rPr>
          <w:rFonts w:ascii="Arial" w:cs="Arial" w:eastAsia="Arial" w:hAnsi="Arial"/>
          <w:sz w:val="18"/>
          <w:szCs w:val="18"/>
          <w:color w:val="auto"/>
        </w:rPr>
        <w:t xml:space="preserve"> employees, whether shared orally, by internal email or Teams chat or in a posting on the onsemi internal sharepoint site ([***]), or if it is only made available to a select group of analysts, brokers and institutional investors.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Once information has been widely disseminated, it is still necessary to provide the investing public with sufficient time to absorb the information. Generally, information should not be considered fully absorbed by the marketplace until the beginning of the second trading day after the day on which the information is released. If, for example, </w:t>
      </w:r>
      <w:r>
        <w:rPr>
          <w:rFonts w:ascii="Arial" w:cs="Arial" w:eastAsia="Arial" w:hAnsi="Arial"/>
          <w:sz w:val="18"/>
          <w:szCs w:val="18"/>
          <w:b w:val="1"/>
          <w:bCs w:val="1"/>
          <w:color w:val="auto"/>
        </w:rPr>
        <w:t>onsemi</w:t>
      </w:r>
      <w:r>
        <w:rPr>
          <w:rFonts w:ascii="Arial" w:cs="Arial" w:eastAsia="Arial" w:hAnsi="Arial"/>
          <w:sz w:val="18"/>
          <w:szCs w:val="18"/>
          <w:color w:val="auto"/>
        </w:rPr>
        <w:t xml:space="preserve"> were to make an announcement on a Monday, you should not trade in Company Securities until Wednesday.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ind w:left="3700"/>
        <w:spacing w:after="0"/>
        <w:rPr>
          <w:sz w:val="20"/>
          <w:szCs w:val="20"/>
          <w:color w:val="auto"/>
        </w:rPr>
      </w:pPr>
      <w:r>
        <w:rPr>
          <w:rFonts w:ascii="Arial" w:cs="Arial" w:eastAsia="Arial" w:hAnsi="Arial"/>
          <w:sz w:val="14"/>
          <w:szCs w:val="14"/>
          <w:color w:val="auto"/>
        </w:rPr>
        <w:t>As amended and restated on November 16, 2023</w:t>
      </w:r>
    </w:p>
    <w:p>
      <w:pPr>
        <w:spacing w:after="0" w:line="1"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900"/>
          </w:cols>
          <w:pgMar w:left="660" w:top="1440" w:right="33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 xml:space="preserve">Depending on the particular circumstances, </w:t>
      </w:r>
      <w:r>
        <w:rPr>
          <w:rFonts w:ascii="Arial" w:cs="Arial" w:eastAsia="Arial" w:hAnsi="Arial"/>
          <w:sz w:val="18"/>
          <w:szCs w:val="18"/>
          <w:b w:val="1"/>
          <w:bCs w:val="1"/>
          <w:color w:val="auto"/>
        </w:rPr>
        <w:t>onsemi</w:t>
      </w:r>
      <w:r>
        <w:rPr>
          <w:rFonts w:ascii="Arial" w:cs="Arial" w:eastAsia="Arial" w:hAnsi="Arial"/>
          <w:sz w:val="18"/>
          <w:szCs w:val="18"/>
          <w:color w:val="auto"/>
        </w:rPr>
        <w:t xml:space="preserve"> may determine that a longer or shorter period should apply to the release of specific material nonpublic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by Family Members and Controlled Entities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Policy applies to any family members who reside with a person covered by this Policy (including a spouse, a child, a child away at college, stepchildren, grandchildren, parents, stepparents, grandparents, siblings and in-laws), anyone else who lives in the same household, and any family members who do not live in the covered person’s household but whose transactions in Company Securities are directed by the covered person or are subject to the covered person’s influence or control, such as parents or children who consult with the covered person before they trade in Company Securities (collectively referred to as “</w:t>
      </w:r>
      <w:r>
        <w:rPr>
          <w:rFonts w:ascii="Arial" w:cs="Arial" w:eastAsia="Arial" w:hAnsi="Arial"/>
          <w:sz w:val="18"/>
          <w:szCs w:val="18"/>
          <w:b w:val="1"/>
          <w:bCs w:val="1"/>
          <w:color w:val="auto"/>
        </w:rPr>
        <w:t>Family Members</w:t>
      </w:r>
      <w:r>
        <w:rPr>
          <w:rFonts w:ascii="Arial" w:cs="Arial" w:eastAsia="Arial" w:hAnsi="Arial"/>
          <w:sz w:val="18"/>
          <w:szCs w:val="18"/>
          <w:color w:val="auto"/>
        </w:rPr>
        <w:t>”). However, this Policy does not apply to personal securities transactions of Family Members where the purchase or sale decision is made by a third party not controlled by, influenced by or related to the covered person or his, her or their Family Members.</w:t>
      </w:r>
    </w:p>
    <w:p>
      <w:pPr>
        <w:spacing w:after="0" w:line="183"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color w:val="auto"/>
        </w:rPr>
        <w:t>This Policy also applies to any entities that the covered person or his, her or their Family Members influence or control, including any corporations, partnerships or trusts (collectively referred to as “</w:t>
      </w:r>
      <w:r>
        <w:rPr>
          <w:rFonts w:ascii="Arial" w:cs="Arial" w:eastAsia="Arial" w:hAnsi="Arial"/>
          <w:sz w:val="18"/>
          <w:szCs w:val="18"/>
          <w:b w:val="1"/>
          <w:bCs w:val="1"/>
          <w:color w:val="auto"/>
        </w:rPr>
        <w:t>Controlled Entities</w:t>
      </w:r>
      <w:r>
        <w:rPr>
          <w:rFonts w:ascii="Arial" w:cs="Arial" w:eastAsia="Arial" w:hAnsi="Arial"/>
          <w:sz w:val="18"/>
          <w:szCs w:val="18"/>
          <w:color w:val="auto"/>
        </w:rPr>
        <w:t>” and, together with Family Members, “</w:t>
      </w:r>
      <w:r>
        <w:rPr>
          <w:rFonts w:ascii="Arial" w:cs="Arial" w:eastAsia="Arial" w:hAnsi="Arial"/>
          <w:sz w:val="18"/>
          <w:szCs w:val="18"/>
          <w:b w:val="1"/>
          <w:bCs w:val="1"/>
          <w:color w:val="auto"/>
        </w:rPr>
        <w:t>Affiliates</w:t>
      </w:r>
      <w:r>
        <w:rPr>
          <w:rFonts w:ascii="Arial" w:cs="Arial" w:eastAsia="Arial" w:hAnsi="Arial"/>
          <w:sz w:val="18"/>
          <w:szCs w:val="18"/>
          <w:color w:val="auto"/>
        </w:rPr>
        <w:t>”).</w:t>
      </w:r>
    </w:p>
    <w:p>
      <w:pPr>
        <w:spacing w:after="0" w:line="1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Transactions by a covered person’s Affiliates should be treated for the purposes of this Policy and applicable securities laws as if they were for the covered person’s own account. Because a covered person is responsible for the transactions of Affiliates, you should make them aware of the need to confer with you before they trade in Company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Rules for Certain Transactions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u w:val="single" w:color="auto"/>
          <w:color w:val="auto"/>
        </w:rPr>
        <w:t>Gifts</w:t>
      </w:r>
      <w:r>
        <w:rPr>
          <w:rFonts w:ascii="Arial" w:cs="Arial" w:eastAsia="Arial" w:hAnsi="Arial"/>
          <w:sz w:val="18"/>
          <w:szCs w:val="18"/>
          <w:color w:val="auto"/>
        </w:rPr>
        <w:t>. Bona fide gifts are generally exempt from this Policy. However, if the covered person making the gift has reason to believe that the recipient intends to sell the Company Securities while the donor is aware of material nonpublic information, then the donor should refrain from making the gift until he, she or they are no longer in possession of material nonpublic information. Further, if the donor is subject to a Restricted Period (as described under “Additional Requirements and Procedures”) at the time of the gift, the donor should either delay the gift until the Restricted Period ends or request that the recipient not sell the Company Securities until that time.</w:t>
      </w:r>
    </w:p>
    <w:p>
      <w:pPr>
        <w:spacing w:after="0" w:line="17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u w:val="single" w:color="auto"/>
          <w:color w:val="auto"/>
        </w:rPr>
        <w:t>Equity Compensation Awards</w:t>
      </w:r>
      <w:r>
        <w:rPr>
          <w:rFonts w:ascii="Arial" w:cs="Arial" w:eastAsia="Arial" w:hAnsi="Arial"/>
          <w:sz w:val="18"/>
          <w:szCs w:val="18"/>
          <w:color w:val="auto"/>
        </w:rPr>
        <w:t xml:space="preserve">. This Policy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apply to the grant, vesting or settlement of any equity compensation awards granted to a covered person under our Amended &amp; Restated Stock Incentive Plan (such as restricted stock, RSUs or PBRSUs) or the automatic withholding of shares of stock to satisfy tax withholding requirements upon the vesting of any award. </w:t>
      </w:r>
      <w:r>
        <w:rPr>
          <w:rFonts w:ascii="Arial" w:cs="Arial" w:eastAsia="Arial" w:hAnsi="Arial"/>
          <w:sz w:val="18"/>
          <w:szCs w:val="18"/>
          <w:b w:val="1"/>
          <w:bCs w:val="1"/>
          <w:color w:val="auto"/>
        </w:rPr>
        <w:t>The Policy does apply, however,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to any market sale of vested shares </w:t>
      </w:r>
      <w:r>
        <w:rPr>
          <w:rFonts w:ascii="Arial" w:cs="Arial" w:eastAsia="Arial" w:hAnsi="Arial"/>
          <w:sz w:val="18"/>
          <w:szCs w:val="18"/>
          <w:color w:val="auto"/>
        </w:rPr>
        <w:t>(which, for Insiders, must be done during a Window Period and, for those Insiders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Preclearance Group, must also be precleared with the CCO or a Designee).</w:t>
      </w:r>
    </w:p>
    <w:p>
      <w:pPr>
        <w:spacing w:after="0" w:line="179" w:lineRule="exact"/>
        <w:rPr>
          <w:sz w:val="20"/>
          <w:szCs w:val="20"/>
          <w:color w:val="auto"/>
        </w:rPr>
      </w:pPr>
    </w:p>
    <w:p>
      <w:pPr>
        <w:jc w:val="both"/>
        <w:ind w:left="340"/>
        <w:spacing w:after="0" w:line="265" w:lineRule="auto"/>
        <w:rPr>
          <w:sz w:val="20"/>
          <w:szCs w:val="20"/>
          <w:color w:val="auto"/>
        </w:rPr>
      </w:pPr>
      <w:r>
        <w:rPr>
          <w:rFonts w:ascii="Arial" w:cs="Arial" w:eastAsia="Arial" w:hAnsi="Arial"/>
          <w:sz w:val="18"/>
          <w:szCs w:val="18"/>
          <w:u w:val="single" w:color="auto"/>
          <w:color w:val="auto"/>
        </w:rPr>
        <w:t>Employee Stock Purchase Plan</w:t>
      </w:r>
      <w:r>
        <w:rPr>
          <w:rFonts w:ascii="Arial" w:cs="Arial" w:eastAsia="Arial" w:hAnsi="Arial"/>
          <w:sz w:val="18"/>
          <w:szCs w:val="18"/>
          <w:color w:val="auto"/>
        </w:rPr>
        <w:t>. If a covered person elects to participate in our Amended &amp; Restated Employee Stock Purchase Plan (“</w:t>
      </w:r>
      <w:r>
        <w:rPr>
          <w:rFonts w:ascii="Arial" w:cs="Arial" w:eastAsia="Arial" w:hAnsi="Arial"/>
          <w:sz w:val="18"/>
          <w:szCs w:val="18"/>
          <w:b w:val="1"/>
          <w:bCs w:val="1"/>
          <w:color w:val="auto"/>
        </w:rPr>
        <w:t>ESPP</w:t>
      </w:r>
      <w:r>
        <w:rPr>
          <w:rFonts w:ascii="Arial" w:cs="Arial" w:eastAsia="Arial" w:hAnsi="Arial"/>
          <w:sz w:val="18"/>
          <w:szCs w:val="18"/>
          <w:color w:val="auto"/>
        </w:rPr>
        <w:t xml:space="preserve">”), this Policy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apply to the automatic quarterly purchases of Company Securities under the ESPP that are made from his, her or their payroll contributions. </w:t>
      </w:r>
      <w:r>
        <w:rPr>
          <w:rFonts w:ascii="Arial" w:cs="Arial" w:eastAsia="Arial" w:hAnsi="Arial"/>
          <w:sz w:val="18"/>
          <w:szCs w:val="18"/>
          <w:b w:val="1"/>
          <w:bCs w:val="1"/>
          <w:color w:val="auto"/>
        </w:rPr>
        <w:t>This Policy does apply, however, to a covered person’s initial election to participate in the</w:t>
      </w:r>
      <w:r>
        <w:rPr>
          <w:rFonts w:ascii="Arial" w:cs="Arial" w:eastAsia="Arial" w:hAnsi="Arial"/>
          <w:sz w:val="18"/>
          <w:szCs w:val="18"/>
          <w:color w:val="auto"/>
        </w:rPr>
        <w:t xml:space="preserve"> </w:t>
      </w:r>
      <w:r>
        <w:rPr>
          <w:rFonts w:ascii="Arial" w:cs="Arial" w:eastAsia="Arial" w:hAnsi="Arial"/>
          <w:sz w:val="18"/>
          <w:szCs w:val="18"/>
          <w:b w:val="1"/>
          <w:bCs w:val="1"/>
          <w:color w:val="auto"/>
        </w:rPr>
        <w:t>ESPP or any increase or decrease in contributions for a given enrollment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As amended and restated on November 16,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color w:val="auto"/>
        </w:rPr>
        <w:t xml:space="preserve">period </w:t>
      </w:r>
      <w:r>
        <w:rPr>
          <w:rFonts w:ascii="Arial" w:cs="Arial" w:eastAsia="Arial" w:hAnsi="Arial"/>
          <w:sz w:val="18"/>
          <w:szCs w:val="18"/>
          <w:color w:val="auto"/>
        </w:rPr>
        <w:t>(which, for Insiders, may only be done during a Window Period)</w:t>
      </w:r>
      <w:r>
        <w:rPr>
          <w:rFonts w:ascii="Arial" w:cs="Arial" w:eastAsia="Arial" w:hAnsi="Arial"/>
          <w:sz w:val="18"/>
          <w:szCs w:val="18"/>
          <w:b w:val="1"/>
          <w:bCs w:val="1"/>
          <w:color w:val="auto"/>
        </w:rPr>
        <w:t xml:space="preserve">. This Policy also applies to any market sales of Company Securities purchased under the ESPP </w:t>
      </w:r>
      <w:r>
        <w:rPr>
          <w:rFonts w:ascii="Arial" w:cs="Arial" w:eastAsia="Arial" w:hAnsi="Arial"/>
          <w:sz w:val="18"/>
          <w:szCs w:val="18"/>
          <w:color w:val="auto"/>
        </w:rPr>
        <w:t>(which, for Insiders, must be done during a Window Period and, for those Insiders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Preclearance Group, must also be precleared with the CCO or a Designee).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Requirements and Procedures Applicable to Insiders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onsemi </w:t>
      </w:r>
      <w:r>
        <w:rPr>
          <w:rFonts w:ascii="Arial" w:cs="Arial" w:eastAsia="Arial" w:hAnsi="Arial"/>
          <w:sz w:val="18"/>
          <w:szCs w:val="18"/>
          <w:color w:val="auto"/>
        </w:rPr>
        <w:t>has established additional requirements and procedures to assist in the administration of this Policy, to facilitate compliance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laws prohibiting insider trading while in possession of material nonpublic information, and to avoid the appearance of impropriety. These additional procedures are applicable only to those individuals described below.</w:t>
      </w:r>
    </w:p>
    <w:p>
      <w:pPr>
        <w:spacing w:after="0" w:line="171" w:lineRule="exact"/>
        <w:rPr>
          <w:sz w:val="20"/>
          <w:szCs w:val="20"/>
          <w:color w:val="auto"/>
        </w:rPr>
      </w:pPr>
    </w:p>
    <w:p>
      <w:pPr>
        <w:jc w:val="both"/>
        <w:ind w:left="340"/>
        <w:spacing w:after="0" w:line="233" w:lineRule="auto"/>
        <w:rPr>
          <w:sz w:val="20"/>
          <w:szCs w:val="20"/>
          <w:color w:val="auto"/>
        </w:rPr>
      </w:pPr>
      <w:r>
        <w:rPr>
          <w:rFonts w:ascii="Arial" w:cs="Arial" w:eastAsia="Arial" w:hAnsi="Arial"/>
          <w:sz w:val="18"/>
          <w:szCs w:val="18"/>
          <w:u w:val="single" w:color="auto"/>
          <w:color w:val="auto"/>
        </w:rPr>
        <w:t>Certain Persons May Only Trade During Open Quarterly Window Periods (“Insiders”)</w:t>
      </w:r>
      <w:r>
        <w:rPr>
          <w:rFonts w:ascii="Arial" w:cs="Arial" w:eastAsia="Arial" w:hAnsi="Arial"/>
          <w:sz w:val="18"/>
          <w:szCs w:val="18"/>
          <w:color w:val="auto"/>
        </w:rPr>
        <w:t>. In addition to the requirements above, persons designated as “</w:t>
      </w:r>
      <w:r>
        <w:rPr>
          <w:rFonts w:ascii="Arial" w:cs="Arial" w:eastAsia="Arial" w:hAnsi="Arial"/>
          <w:sz w:val="18"/>
          <w:szCs w:val="18"/>
          <w:b w:val="1"/>
          <w:bCs w:val="1"/>
          <w:color w:val="auto"/>
        </w:rPr>
        <w:t>Insiders</w:t>
      </w:r>
      <w:r>
        <w:rPr>
          <w:rFonts w:ascii="Arial" w:cs="Arial" w:eastAsia="Arial" w:hAnsi="Arial"/>
          <w:sz w:val="18"/>
          <w:szCs w:val="18"/>
          <w:color w:val="auto"/>
        </w:rPr>
        <w:t xml:space="preserve">” (listed on </w:t>
      </w:r>
      <w:r>
        <w:rPr>
          <w:rFonts w:ascii="Arial" w:cs="Arial" w:eastAsia="Arial" w:hAnsi="Arial"/>
          <w:sz w:val="18"/>
          <w:szCs w:val="18"/>
          <w:u w:val="single" w:color="auto"/>
          <w:color w:val="auto"/>
        </w:rPr>
        <w:t>Appendix 1</w:t>
      </w:r>
      <w:r>
        <w:rPr>
          <w:rFonts w:ascii="Arial" w:cs="Arial" w:eastAsia="Arial" w:hAnsi="Arial"/>
          <w:sz w:val="18"/>
          <w:szCs w:val="18"/>
          <w:color w:val="auto"/>
        </w:rPr>
        <w:t>) may only trade in the Company Securities during the “</w:t>
      </w:r>
      <w:r>
        <w:rPr>
          <w:rFonts w:ascii="Arial" w:cs="Arial" w:eastAsia="Arial" w:hAnsi="Arial"/>
          <w:sz w:val="18"/>
          <w:szCs w:val="18"/>
          <w:b w:val="1"/>
          <w:bCs w:val="1"/>
          <w:color w:val="auto"/>
        </w:rPr>
        <w:t>Window Period</w:t>
      </w:r>
      <w:r>
        <w:rPr>
          <w:rFonts w:ascii="Arial" w:cs="Arial" w:eastAsia="Arial" w:hAnsi="Arial"/>
          <w:sz w:val="18"/>
          <w:szCs w:val="18"/>
          <w:color w:val="auto"/>
        </w:rPr>
        <w:t xml:space="preserve">” beginning on the second trading day following the public release of </w:t>
      </w:r>
      <w:r>
        <w:rPr>
          <w:rFonts w:ascii="Arial" w:cs="Arial" w:eastAsia="Arial" w:hAnsi="Arial"/>
          <w:sz w:val="18"/>
          <w:szCs w:val="18"/>
          <w:b w:val="1"/>
          <w:bCs w:val="1"/>
          <w:color w:val="auto"/>
        </w:rPr>
        <w:t>onsemi’s</w:t>
      </w:r>
      <w:r>
        <w:rPr>
          <w:rFonts w:ascii="Arial" w:cs="Arial" w:eastAsia="Arial" w:hAnsi="Arial"/>
          <w:sz w:val="18"/>
          <w:szCs w:val="18"/>
          <w:color w:val="auto"/>
        </w:rPr>
        <w:t xml:space="preserve"> quarterly earnings and ending at the end of the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the end of the next fiscal quarter. In other words, Insiders may not trade in Company Securities during the “</w:t>
      </w:r>
      <w:r>
        <w:rPr>
          <w:rFonts w:ascii="Arial" w:cs="Arial" w:eastAsia="Arial" w:hAnsi="Arial"/>
          <w:sz w:val="18"/>
          <w:szCs w:val="18"/>
          <w:b w:val="1"/>
          <w:bCs w:val="1"/>
          <w:color w:val="auto"/>
        </w:rPr>
        <w:t>Restricted Period</w:t>
      </w:r>
      <w:r>
        <w:rPr>
          <w:rFonts w:ascii="Arial" w:cs="Arial" w:eastAsia="Arial" w:hAnsi="Arial"/>
          <w:sz w:val="18"/>
          <w:szCs w:val="18"/>
          <w:color w:val="auto"/>
        </w:rPr>
        <w:t>” beginning on the 13</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the end of a fiscal quarter and ending at the end of the first full trading day after the public release of </w:t>
      </w:r>
      <w:r>
        <w:rPr>
          <w:rFonts w:ascii="Arial" w:cs="Arial" w:eastAsia="Arial" w:hAnsi="Arial"/>
          <w:sz w:val="18"/>
          <w:szCs w:val="18"/>
          <w:b w:val="1"/>
          <w:bCs w:val="1"/>
          <w:color w:val="auto"/>
        </w:rPr>
        <w:t>onsemi’s</w:t>
      </w:r>
      <w:r>
        <w:rPr>
          <w:rFonts w:ascii="Arial" w:cs="Arial" w:eastAsia="Arial" w:hAnsi="Arial"/>
          <w:sz w:val="18"/>
          <w:szCs w:val="18"/>
          <w:color w:val="auto"/>
        </w:rPr>
        <w:t xml:space="preserve"> quarterly earnings.</w:t>
      </w:r>
    </w:p>
    <w:p>
      <w:pPr>
        <w:spacing w:after="0" w:line="195"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color w:val="auto"/>
        </w:rPr>
        <w:t>The opening of the Window Period will be announced by an email from the CCO or a Designee; Insiders should not trade (or submit a preclearance request, if required under the next section) until he, she or they receive that email.</w:t>
      </w:r>
    </w:p>
    <w:p>
      <w:pPr>
        <w:spacing w:after="0" w:line="153" w:lineRule="exact"/>
        <w:rPr>
          <w:sz w:val="20"/>
          <w:szCs w:val="20"/>
          <w:color w:val="auto"/>
        </w:rPr>
      </w:pPr>
    </w:p>
    <w:p>
      <w:pPr>
        <w:jc w:val="both"/>
        <w:ind w:left="340"/>
        <w:spacing w:after="0" w:line="273" w:lineRule="auto"/>
        <w:rPr>
          <w:sz w:val="20"/>
          <w:szCs w:val="20"/>
          <w:color w:val="auto"/>
        </w:rPr>
      </w:pPr>
      <w:r>
        <w:rPr>
          <w:rFonts w:ascii="Arial" w:cs="Arial" w:eastAsia="Arial" w:hAnsi="Arial"/>
          <w:sz w:val="18"/>
          <w:szCs w:val="18"/>
          <w:b w:val="1"/>
          <w:bCs w:val="1"/>
          <w:color w:val="auto"/>
        </w:rPr>
        <w:t>Please be advised that a Window Period is a mechanism designed to promote compliance with this Policy and does not create a legal right to trade in the Company Securities. Accordingly, even during Window Periods, an Insider may not trade if he, she or they are in possession of material nonpublic information.</w:t>
      </w:r>
    </w:p>
    <w:p>
      <w:pPr>
        <w:spacing w:after="0" w:line="158"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u w:val="single" w:color="auto"/>
          <w:color w:val="auto"/>
        </w:rPr>
        <w:t>Certain Insiders Must Obtain Pre-Clearance Prior to Trading (the “Preclearance Group”)</w:t>
      </w:r>
      <w:r>
        <w:rPr>
          <w:rFonts w:ascii="Arial" w:cs="Arial" w:eastAsia="Arial" w:hAnsi="Arial"/>
          <w:sz w:val="18"/>
          <w:szCs w:val="18"/>
          <w:color w:val="auto"/>
        </w:rPr>
        <w:t>. In addition to being limited to trading during quarterly Window Periods, certain Insiders (members of the “</w:t>
      </w:r>
      <w:r>
        <w:rPr>
          <w:rFonts w:ascii="Arial" w:cs="Arial" w:eastAsia="Arial" w:hAnsi="Arial"/>
          <w:sz w:val="18"/>
          <w:szCs w:val="18"/>
          <w:b w:val="1"/>
          <w:bCs w:val="1"/>
          <w:color w:val="auto"/>
        </w:rPr>
        <w:t>Preclearance Group</w:t>
      </w:r>
      <w:r>
        <w:rPr>
          <w:rFonts w:ascii="Arial" w:cs="Arial" w:eastAsia="Arial" w:hAnsi="Arial"/>
          <w:sz w:val="18"/>
          <w:szCs w:val="18"/>
          <w:color w:val="auto"/>
        </w:rPr>
        <w:t xml:space="preserve">,” listed on </w:t>
      </w:r>
      <w:r>
        <w:rPr>
          <w:rFonts w:ascii="Arial" w:cs="Arial" w:eastAsia="Arial" w:hAnsi="Arial"/>
          <w:sz w:val="18"/>
          <w:szCs w:val="18"/>
          <w:u w:val="single" w:color="auto"/>
          <w:color w:val="auto"/>
        </w:rPr>
        <w:t>Appendix 1</w:t>
      </w:r>
      <w:r>
        <w:rPr>
          <w:rFonts w:ascii="Arial" w:cs="Arial" w:eastAsia="Arial" w:hAnsi="Arial"/>
          <w:sz w:val="18"/>
          <w:szCs w:val="18"/>
          <w:color w:val="auto"/>
        </w:rPr>
        <w:t>), may not trade in Company Securities until they preclear the transaction with the CCO or Designee.</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A request for preclearance should be submitted at least one business day prior to the proposed transaction, either by emailing an executed copy of the Preclearance Application for Trading (attached as </w:t>
      </w:r>
      <w:r>
        <w:rPr>
          <w:rFonts w:ascii="Arial" w:cs="Arial" w:eastAsia="Arial" w:hAnsi="Arial"/>
          <w:sz w:val="18"/>
          <w:szCs w:val="18"/>
          <w:u w:val="single" w:color="auto"/>
          <w:color w:val="auto"/>
        </w:rPr>
        <w:t>Appendix 2</w:t>
      </w:r>
      <w:r>
        <w:rPr>
          <w:rFonts w:ascii="Arial" w:cs="Arial" w:eastAsia="Arial" w:hAnsi="Arial"/>
          <w:sz w:val="18"/>
          <w:szCs w:val="18"/>
          <w:color w:val="auto"/>
        </w:rPr>
        <w:t xml:space="preserve">) to [***] or by completing and submitting the form online (available here). Before making a request for preclearance, the requestor should carefully consider whether he, she or they may be aware of any material nonpublic information about </w:t>
      </w:r>
      <w:r>
        <w:rPr>
          <w:rFonts w:ascii="Arial" w:cs="Arial" w:eastAsia="Arial" w:hAnsi="Arial"/>
          <w:sz w:val="18"/>
          <w:szCs w:val="18"/>
          <w:b w:val="1"/>
          <w:bCs w:val="1"/>
          <w:color w:val="auto"/>
        </w:rPr>
        <w:t>onsemi</w:t>
      </w:r>
      <w:r>
        <w:rPr>
          <w:rFonts w:ascii="Arial" w:cs="Arial" w:eastAsia="Arial" w:hAnsi="Arial"/>
          <w:sz w:val="18"/>
          <w:szCs w:val="18"/>
          <w:color w:val="auto"/>
        </w:rPr>
        <w:t xml:space="preserve"> and, if so, should describe fully those circumstances to the CCO or Designee.</w:t>
      </w:r>
    </w:p>
    <w:p>
      <w:pPr>
        <w:spacing w:after="0" w:line="179"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Upon receipt of the preclearance request, the CCO or Designee, in his, her, or their discretion but in accordance with the requirements of this Policy, will approve the proposed transaction, which must be effected within four trading days following the date on which the preclearance request was submitted (or prior to the closing of the Window Period, if earlier). If the requestor does not effect the precleared transaction during the four-day period but still wishes to trade, then he, she or they must submit a new preclearance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As amended and restated on November 16,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Notwithstanding the foregoing, the CCO is under no obligation to approve a transaction submitted for preclearance and may determine not to permit the transaction. If a person seeks preclearance and permission to engage in the transaction is denied, then he, she or they should refrain from initiating any transaction in Company Securities and should not inform any other person of the restriction.</w:t>
      </w:r>
    </w:p>
    <w:p>
      <w:pPr>
        <w:spacing w:after="0" w:line="171"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Note that bona fide gifts and changes to ESPP participation (initial election or increasing or decreasing level participation, each of which may only be done during a Window Period) do not need to be precleared with the CCO or a Designee. However, any market sales of vested shares received as equity compensation awards or purchased under the ESPP are subject to this preclearance requirement.</w:t>
      </w:r>
    </w:p>
    <w:p>
      <w:pPr>
        <w:spacing w:after="0" w:line="171" w:lineRule="exact"/>
        <w:rPr>
          <w:sz w:val="20"/>
          <w:szCs w:val="20"/>
          <w:color w:val="auto"/>
        </w:rPr>
      </w:pPr>
    </w:p>
    <w:p>
      <w:pPr>
        <w:jc w:val="both"/>
        <w:ind w:left="340"/>
        <w:spacing w:after="0" w:line="296" w:lineRule="auto"/>
        <w:rPr>
          <w:sz w:val="20"/>
          <w:szCs w:val="20"/>
          <w:color w:val="auto"/>
        </w:rPr>
      </w:pPr>
      <w:r>
        <w:rPr>
          <w:rFonts w:ascii="Arial" w:cs="Arial" w:eastAsia="Arial" w:hAnsi="Arial"/>
          <w:sz w:val="18"/>
          <w:szCs w:val="18"/>
          <w:color w:val="auto"/>
        </w:rPr>
        <w:t>We encourage, but do not require, members of the Preclearance Group who are subject to Section 16 of the Exchange Act (</w:t>
      </w:r>
      <w:r>
        <w:rPr>
          <w:rFonts w:ascii="Arial" w:cs="Arial" w:eastAsia="Arial" w:hAnsi="Arial"/>
          <w:sz w:val="18"/>
          <w:szCs w:val="18"/>
          <w:b w:val="1"/>
          <w:bCs w:val="1"/>
          <w:color w:val="auto"/>
        </w:rPr>
        <w:t>“Section 16</w:t>
      </w:r>
      <w:r>
        <w:rPr>
          <w:rFonts w:ascii="Arial" w:cs="Arial" w:eastAsia="Arial" w:hAnsi="Arial"/>
          <w:sz w:val="18"/>
          <w:szCs w:val="18"/>
          <w:color w:val="auto"/>
        </w:rPr>
        <w:t xml:space="preserve"> </w:t>
      </w:r>
      <w:r>
        <w:rPr>
          <w:rFonts w:ascii="Arial" w:cs="Arial" w:eastAsia="Arial" w:hAnsi="Arial"/>
          <w:sz w:val="18"/>
          <w:szCs w:val="18"/>
          <w:b w:val="1"/>
          <w:bCs w:val="1"/>
          <w:color w:val="auto"/>
        </w:rPr>
        <w:t>Insiders</w:t>
      </w:r>
      <w:r>
        <w:rPr>
          <w:rFonts w:ascii="Arial" w:cs="Arial" w:eastAsia="Arial" w:hAnsi="Arial"/>
          <w:sz w:val="18"/>
          <w:szCs w:val="18"/>
          <w:color w:val="auto"/>
        </w:rPr>
        <w:t>”) to trade using a Rule 10b5-1 Plan (see “Rule 10b5-1 Plans” below for more information).</w:t>
      </w:r>
    </w:p>
    <w:p>
      <w:pPr>
        <w:spacing w:after="0" w:line="13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u w:val="single" w:color="auto"/>
          <w:color w:val="auto"/>
        </w:rPr>
        <w:t>Chief Compliance Officer May Impose Event-Specific Restricted Periods on Any Person Covered by this Policy</w:t>
      </w:r>
      <w:r>
        <w:rPr>
          <w:rFonts w:ascii="Arial" w:cs="Arial" w:eastAsia="Arial" w:hAnsi="Arial"/>
          <w:sz w:val="18"/>
          <w:szCs w:val="18"/>
          <w:color w:val="auto"/>
        </w:rPr>
        <w:t xml:space="preserve">. From time to time, an event may occur that is material to </w:t>
      </w:r>
      <w:r>
        <w:rPr>
          <w:rFonts w:ascii="Arial" w:cs="Arial" w:eastAsia="Arial" w:hAnsi="Arial"/>
          <w:sz w:val="18"/>
          <w:szCs w:val="18"/>
          <w:b w:val="1"/>
          <w:bCs w:val="1"/>
          <w:color w:val="auto"/>
        </w:rPr>
        <w:t>onsemi</w:t>
      </w:r>
      <w:r>
        <w:rPr>
          <w:rFonts w:ascii="Arial" w:cs="Arial" w:eastAsia="Arial" w:hAnsi="Arial"/>
          <w:sz w:val="18"/>
          <w:szCs w:val="18"/>
          <w:color w:val="auto"/>
        </w:rPr>
        <w:t xml:space="preserve"> and is known by only a few members of the Board or officers or employees of </w:t>
      </w:r>
      <w:r>
        <w:rPr>
          <w:rFonts w:ascii="Arial" w:cs="Arial" w:eastAsia="Arial" w:hAnsi="Arial"/>
          <w:sz w:val="18"/>
          <w:szCs w:val="18"/>
          <w:b w:val="1"/>
          <w:bCs w:val="1"/>
          <w:color w:val="auto"/>
        </w:rPr>
        <w:t>onsemi</w:t>
      </w:r>
      <w:r>
        <w:rPr>
          <w:rFonts w:ascii="Arial" w:cs="Arial" w:eastAsia="Arial" w:hAnsi="Arial"/>
          <w:sz w:val="18"/>
          <w:szCs w:val="18"/>
          <w:color w:val="auto"/>
        </w:rPr>
        <w:t xml:space="preserve">. While the event remains material and nonpublic, the persons designated by the CCO may not engage in transactions in Company Securities. In addition, </w:t>
      </w:r>
      <w:r>
        <w:rPr>
          <w:rFonts w:ascii="Arial" w:cs="Arial" w:eastAsia="Arial" w:hAnsi="Arial"/>
          <w:sz w:val="18"/>
          <w:szCs w:val="18"/>
          <w:b w:val="1"/>
          <w:bCs w:val="1"/>
          <w:color w:val="auto"/>
        </w:rPr>
        <w:t>onsemi’s</w:t>
      </w:r>
      <w:r>
        <w:rPr>
          <w:rFonts w:ascii="Arial" w:cs="Arial" w:eastAsia="Arial" w:hAnsi="Arial"/>
          <w:sz w:val="18"/>
          <w:szCs w:val="18"/>
          <w:color w:val="auto"/>
        </w:rPr>
        <w:t xml:space="preserve"> financial results may be sufficiently material in a particular fiscal quarter that, in the judgment of the CCO, certain designated persons should refrain from engaging in transactions in Company Securities even sooner than the quarterly Restricted Period described above.</w:t>
      </w:r>
    </w:p>
    <w:p>
      <w:pPr>
        <w:spacing w:after="0" w:line="182"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Further, the CCO has authority to impose global trading restriction periods when trading is prohibited by all persons subject to this Policy and their Affiliates due to material pending events or other circumstances that have not yet been made public. In that situation, the CCO may notify covered persons that they and their Affiliates should not trade in the Company Securities without disclosing the reason for the restriction. The CCO or the Designee will separately notify the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and the Chief Financial Officer (“</w:t>
      </w:r>
      <w:r>
        <w:rPr>
          <w:rFonts w:ascii="Arial" w:cs="Arial" w:eastAsia="Arial" w:hAnsi="Arial"/>
          <w:sz w:val="18"/>
          <w:szCs w:val="18"/>
          <w:b w:val="1"/>
          <w:bCs w:val="1"/>
          <w:color w:val="auto"/>
        </w:rPr>
        <w:t>CFO</w:t>
      </w:r>
      <w:r>
        <w:rPr>
          <w:rFonts w:ascii="Arial" w:cs="Arial" w:eastAsia="Arial" w:hAnsi="Arial"/>
          <w:sz w:val="18"/>
          <w:szCs w:val="18"/>
          <w:color w:val="auto"/>
        </w:rPr>
        <w:t>”) of the imposition of the trading restriction at or before the time the trading restriction is imposed. If such notice is given, each person so notified should refrain from trading in Company Securities and until the notice is withdrawn (except as otherwise permitted pursuant to this Policy).</w:t>
      </w:r>
    </w:p>
    <w:p>
      <w:pPr>
        <w:spacing w:after="0" w:line="18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existence of an event-specific Restricted Period or the extension of a quarterly Restricted Period may not be announced to the Company as a whole and should not be communicated to any other person. Even if the CCO has not designated you as a person who should not engage in transactions in Company Securities due to an event-specific Restricted Period, you should not trade while aware of material nonpublic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Rule 10b5-1 Plans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Rule 10b5-1 under the Exchange Act provides a defense from insider trading liability under Rule 10b-5. To be eligible for this defense, a person subject to this Policy must enter into a Rule 10b5-1 plan for transactions in Company Securities that meets certain conditions as specified in the Rule (a “</w:t>
      </w:r>
      <w:r>
        <w:rPr>
          <w:rFonts w:ascii="Arial" w:cs="Arial" w:eastAsia="Arial" w:hAnsi="Arial"/>
          <w:sz w:val="18"/>
          <w:szCs w:val="18"/>
          <w:b w:val="1"/>
          <w:bCs w:val="1"/>
          <w:color w:val="auto"/>
        </w:rPr>
        <w:t>Rule 10b5-1 Plan</w:t>
      </w:r>
      <w:r>
        <w:rPr>
          <w:rFonts w:ascii="Arial" w:cs="Arial" w:eastAsia="Arial" w:hAnsi="Arial"/>
          <w:sz w:val="18"/>
          <w:szCs w:val="18"/>
          <w:color w:val="auto"/>
        </w:rPr>
        <w:t>”). A properly adopted and administered Rule 10b5-1 Plan should permit an Insider to trade in Company Securities on a systematic basis (rather than only during a Window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As amended and restated on November 16,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Period) even if he, she or they are aware of material nonpublic information at the time that the actual transactions take place.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To comply with the Policy, a Rule 10b5-1 Plan must be approved by the CCO or a Designee and meet the requirements of Rule 10b5-1 and </w:t>
      </w:r>
      <w:r>
        <w:rPr>
          <w:rFonts w:ascii="Arial" w:cs="Arial" w:eastAsia="Arial" w:hAnsi="Arial"/>
          <w:sz w:val="18"/>
          <w:szCs w:val="18"/>
          <w:b w:val="1"/>
          <w:bCs w:val="1"/>
          <w:color w:val="auto"/>
        </w:rPr>
        <w:t xml:space="preserve">onsemi’s </w:t>
      </w:r>
      <w:r>
        <w:rPr>
          <w:rFonts w:ascii="Arial" w:cs="Arial" w:eastAsia="Arial" w:hAnsi="Arial"/>
          <w:sz w:val="18"/>
          <w:szCs w:val="18"/>
          <w:color w:val="auto"/>
        </w:rPr>
        <w:t>“Guidelines for Rule 10b5-1 Plans” (the “</w:t>
      </w:r>
      <w:r>
        <w:rPr>
          <w:rFonts w:ascii="Arial" w:cs="Arial" w:eastAsia="Arial" w:hAnsi="Arial"/>
          <w:sz w:val="18"/>
          <w:szCs w:val="18"/>
          <w:b w:val="1"/>
          <w:bCs w:val="1"/>
          <w:color w:val="auto"/>
        </w:rPr>
        <w:t>Guidelines</w:t>
      </w:r>
      <w:r>
        <w:rPr>
          <w:rFonts w:ascii="Arial" w:cs="Arial" w:eastAsia="Arial" w:hAnsi="Arial"/>
          <w:sz w:val="18"/>
          <w:szCs w:val="18"/>
          <w:color w:val="auto"/>
        </w:rPr>
        <w:t>,” which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Appendix 3</w:t>
      </w:r>
      <w:r>
        <w:rPr>
          <w:rFonts w:ascii="Arial" w:cs="Arial" w:eastAsia="Arial" w:hAnsi="Arial"/>
          <w:sz w:val="18"/>
          <w:szCs w:val="18"/>
          <w:color w:val="auto"/>
        </w:rPr>
        <w:t>). Any modifications or terminations of a</w:t>
      </w:r>
      <w:r>
        <w:rPr>
          <w:rFonts w:ascii="Arial" w:cs="Arial" w:eastAsia="Arial" w:hAnsi="Arial"/>
          <w:sz w:val="18"/>
          <w:szCs w:val="18"/>
          <w:b w:val="1"/>
          <w:bCs w:val="1"/>
          <w:color w:val="auto"/>
        </w:rPr>
        <w:t xml:space="preserve"> </w:t>
      </w:r>
      <w:r>
        <w:rPr>
          <w:rFonts w:ascii="Arial" w:cs="Arial" w:eastAsia="Arial" w:hAnsi="Arial"/>
          <w:sz w:val="18"/>
          <w:szCs w:val="18"/>
          <w:color w:val="auto"/>
        </w:rPr>
        <w:t>Rule 10b5-1 Plan must be approved by the CCO or a Designee but otherwise, no further pre-approval of transactions conducted pursuant to the Rule 10b5-1 Plan will be required.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Preclearance of a Rule 10b5-1 Plan does not constitute legal advice or a determination by the Company that the Rule 10b5-1 Plan complies with the requirements of Rule 10b5-1 or is otherwise a valid Rule 10b5-1 Plan. Covered persons who are interested in entering into a Rule 10b5-1 Plan are urged to consult with their own personal legal and financial advisors to confirm their compliance with Rule 10b5-1 as well as to fully understand the ramifications of adopting and implementing a Rule 10b5-1 Plan. For more information, please see the Guidelines.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Post-Termination Transactions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Policy continues to apply to transactions in Company Securities even after termination of employment or the service relationship. If a covered person is in possession of material nonpublic information when his, her or their employment or service relationship terminates, that individual and his, her or their Affiliates may not engage in transactions in Company Securities until that information has become public or is no longer material or until otherwise notified by the CCO or a Designee. In addition, for any covered person whose employment or service relationship terminates during a Restricted Period to which he, she or they are subject (whether quarterly or event specific), such person and his, her or their Affiliates may not trade until that Restricted Period has ended.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Prohibited Transactions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onsemi </w:t>
      </w:r>
      <w:r>
        <w:rPr>
          <w:rFonts w:ascii="Arial" w:cs="Arial" w:eastAsia="Arial" w:hAnsi="Arial"/>
          <w:sz w:val="18"/>
          <w:szCs w:val="18"/>
          <w:color w:val="auto"/>
        </w:rPr>
        <w:t>has determined that there is a heightened legal risk and/or the appearance of improper or inappropriate conduct if the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this Policy engage in certain types of transactions. Therefore, Insiders and their Affiliates may not engage in, and </w:t>
      </w:r>
      <w:r>
        <w:rPr>
          <w:rFonts w:ascii="Arial" w:cs="Arial" w:eastAsia="Arial" w:hAnsi="Arial"/>
          <w:sz w:val="18"/>
          <w:szCs w:val="18"/>
          <w:b w:val="1"/>
          <w:bCs w:val="1"/>
          <w:color w:val="auto"/>
        </w:rPr>
        <w:t>onsemi</w:t>
      </w:r>
      <w:r>
        <w:rPr>
          <w:rFonts w:ascii="Arial" w:cs="Arial" w:eastAsia="Arial" w:hAnsi="Arial"/>
          <w:sz w:val="18"/>
          <w:szCs w:val="18"/>
          <w:color w:val="auto"/>
        </w:rPr>
        <w:t xml:space="preserve"> discourages all other covered persons and their Affiliates from engaging in, any of these transactions.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Specifically, Insiders are prohibited from engaging in transactions that hedge or offset, or are designed to hedge or offset, any decrease in the market value of Company Securities or that otherwise have economic consequences comparable to the same. Insiders are also prohibited from any pledging or margin transactions with respect to our stock, including, but not limited to, holding our securities in a margin account or otherwise pledging such securities as collateral for a loan.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Consequences of Violations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or sale of securities while aware of material nonpublic information, or the disclosure of material nonpublic information to others who then engage in transactions in the Company’s Securities, is prohibited by the federal and state laws. Insider trading violations are pursued vigorously by the SEC, U.S. Attorneys and state enforcement authorities, as well as enforcement authorities in foreign jurisdictions. Punishment for insider trading violations is severe and could include significant fines and imprisonment. While the regulatory authorities concentrate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As amended and restated on November 16,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an individual’s failure to comply with this Policy may subject the individual to Company-imposed sanctions, including dismissal for cause, regardless of whether the employee’s failure to comply results in a violation of law. Needless to say, a violation of law, or even an SEC investigation that does not result in prosecution, can tarnish a person’s reputation and irreparably damage a career.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Assistance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Any person who has a question about this Policy or its application to any proposed transaction may obtain additional guidance by emailing [***] or by contacting the CCO or Designees by any of the methods listed on </w:t>
      </w:r>
      <w:r>
        <w:rPr>
          <w:rFonts w:ascii="Arial" w:cs="Arial" w:eastAsia="Arial" w:hAnsi="Arial"/>
          <w:sz w:val="18"/>
          <w:szCs w:val="18"/>
          <w:u w:val="single" w:color="auto"/>
          <w:color w:val="auto"/>
        </w:rPr>
        <w:t>Appendix 4</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persons subject to this Policy must certify their understanding of, and intent to comply with, this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Appendices</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Appendix 1</w:t>
      </w:r>
      <w:r>
        <w:rPr>
          <w:rFonts w:ascii="Arial" w:cs="Arial" w:eastAsia="Arial" w:hAnsi="Arial"/>
          <w:sz w:val="18"/>
          <w:szCs w:val="18"/>
          <w:b w:val="1"/>
          <w:bCs w:val="1"/>
          <w:color w:val="auto"/>
        </w:rPr>
        <w:t xml:space="preserve"> – Insiders List and Preclearance Group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Appendix 2</w:t>
      </w:r>
      <w:r>
        <w:rPr>
          <w:rFonts w:ascii="Arial" w:cs="Arial" w:eastAsia="Arial" w:hAnsi="Arial"/>
          <w:sz w:val="18"/>
          <w:szCs w:val="18"/>
          <w:b w:val="1"/>
          <w:bCs w:val="1"/>
          <w:color w:val="auto"/>
        </w:rPr>
        <w:t xml:space="preserve"> – Preclearance Application for Trading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Appendix 3</w:t>
      </w:r>
      <w:r>
        <w:rPr>
          <w:rFonts w:ascii="Arial" w:cs="Arial" w:eastAsia="Arial" w:hAnsi="Arial"/>
          <w:sz w:val="18"/>
          <w:szCs w:val="18"/>
          <w:b w:val="1"/>
          <w:bCs w:val="1"/>
          <w:color w:val="auto"/>
        </w:rPr>
        <w:t xml:space="preserve"> – Guidelines for Rule 10b5-1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Appendix 4</w:t>
      </w:r>
      <w:r>
        <w:rPr>
          <w:rFonts w:ascii="Arial" w:cs="Arial" w:eastAsia="Arial" w:hAnsi="Arial"/>
          <w:sz w:val="18"/>
          <w:szCs w:val="18"/>
          <w:b w:val="1"/>
          <w:bCs w:val="1"/>
          <w:color w:val="auto"/>
        </w:rPr>
        <w:t xml:space="preserve"> – Chief Compliance Officer Contact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As amended and restated on November 16, 2023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40"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u w:val="single" w:color="auto"/>
          <w:color w:val="auto"/>
        </w:rPr>
        <w:t>Appendix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INSIDERS LIST AND PRECLEARANCE GROUP LIST</w:t>
      </w:r>
    </w:p>
    <w:p>
      <w:pPr>
        <w:spacing w:after="0" w:line="21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 xml:space="preserve">All capitalized terms used but not defined in this </w:t>
      </w:r>
      <w:r>
        <w:rPr>
          <w:rFonts w:ascii="Arial" w:cs="Arial" w:eastAsia="Arial" w:hAnsi="Arial"/>
          <w:sz w:val="18"/>
          <w:szCs w:val="18"/>
          <w:u w:val="single" w:color="auto"/>
          <w:color w:val="auto"/>
        </w:rPr>
        <w:t>Appendix 1</w:t>
      </w:r>
      <w:r>
        <w:rPr>
          <w:rFonts w:ascii="Arial" w:cs="Arial" w:eastAsia="Arial" w:hAnsi="Arial"/>
          <w:sz w:val="18"/>
          <w:szCs w:val="18"/>
          <w:color w:val="auto"/>
        </w:rPr>
        <w:t xml:space="preserve"> have the meanings provided in the Insider Trading Policy (the “</w:t>
      </w:r>
      <w:r>
        <w:rPr>
          <w:rFonts w:ascii="Arial" w:cs="Arial" w:eastAsia="Arial" w:hAnsi="Arial"/>
          <w:sz w:val="18"/>
          <w:szCs w:val="18"/>
          <w:u w:val="single" w:color="auto"/>
          <w:color w:val="auto"/>
        </w:rPr>
        <w:t>Policy</w:t>
      </w:r>
      <w:r>
        <w:rPr>
          <w:rFonts w:ascii="Arial" w:cs="Arial" w:eastAsia="Arial" w:hAnsi="Arial"/>
          <w:sz w:val="18"/>
          <w:szCs w:val="18"/>
          <w:color w:val="auto"/>
        </w:rPr>
        <w:t>”). The list of Insiders (Section A) and the Preclearance Group (Section B) may be modified from time to time by the CEO, CFO or CCO.</w:t>
      </w:r>
    </w:p>
    <w:p>
      <w:pPr>
        <w:spacing w:after="0" w:line="194"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Insiders</w:t>
      </w:r>
      <w:r>
        <w:rPr>
          <w:rFonts w:ascii="Arial" w:cs="Arial" w:eastAsia="Arial" w:hAnsi="Arial"/>
          <w:sz w:val="18"/>
          <w:szCs w:val="18"/>
          <w:color w:val="auto"/>
        </w:rPr>
        <w:t>.</w:t>
      </w:r>
      <w:r>
        <w:rPr>
          <w:rFonts w:ascii="Arial" w:cs="Arial" w:eastAsia="Arial" w:hAnsi="Arial"/>
          <w:sz w:val="18"/>
          <w:szCs w:val="18"/>
          <w:b w:val="1"/>
          <w:bCs w:val="1"/>
          <w:color w:val="auto"/>
        </w:rPr>
        <w:t xml:space="preserve"> onsemi </w:t>
      </w:r>
      <w:r>
        <w:rPr>
          <w:rFonts w:ascii="Arial" w:cs="Arial" w:eastAsia="Arial" w:hAnsi="Arial"/>
          <w:sz w:val="18"/>
          <w:szCs w:val="18"/>
          <w:color w:val="auto"/>
        </w:rPr>
        <w:t>Insiders include the following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three</w:t>
      </w:r>
      <w:r>
        <w:rPr>
          <w:rFonts w:ascii="Arial" w:cs="Arial" w:eastAsia="Arial" w:hAnsi="Arial"/>
          <w:sz w:val="18"/>
          <w:szCs w:val="18"/>
          <w:b w:val="1"/>
          <w:bCs w:val="1"/>
          <w:color w:val="auto"/>
        </w:rPr>
        <w:t xml:space="preserve"> </w:t>
      </w:r>
      <w:r>
        <w:rPr>
          <w:rFonts w:ascii="Arial" w:cs="Arial" w:eastAsia="Arial" w:hAnsi="Arial"/>
          <w:sz w:val="18"/>
          <w:szCs w:val="18"/>
          <w:color w:val="auto"/>
        </w:rPr>
        <w:t>categories of persons and their respective Affiliates:</w:t>
      </w:r>
    </w:p>
    <w:p>
      <w:pPr>
        <w:spacing w:after="0" w:line="211" w:lineRule="exact"/>
        <w:rPr>
          <w:rFonts w:ascii="Arial" w:cs="Arial" w:eastAsia="Arial" w:hAnsi="Arial"/>
          <w:sz w:val="18"/>
          <w:szCs w:val="18"/>
          <w:b w:val="1"/>
          <w:bCs w:val="1"/>
          <w:color w:val="auto"/>
        </w:rPr>
      </w:pPr>
    </w:p>
    <w:p>
      <w:pPr>
        <w:ind w:left="660" w:hanging="328"/>
        <w:spacing w:after="0"/>
        <w:tabs>
          <w:tab w:leader="none" w:pos="66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Board of Directors of ON Semiconductor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 All members</w:t>
      </w:r>
    </w:p>
    <w:p>
      <w:pPr>
        <w:spacing w:after="0" w:line="184" w:lineRule="exact"/>
        <w:rPr>
          <w:rFonts w:ascii="Arial" w:cs="Arial" w:eastAsia="Arial" w:hAnsi="Arial"/>
          <w:sz w:val="18"/>
          <w:szCs w:val="18"/>
          <w:b w:val="1"/>
          <w:bCs w:val="1"/>
          <w:color w:val="auto"/>
        </w:rPr>
      </w:pPr>
    </w:p>
    <w:p>
      <w:pPr>
        <w:ind w:left="660" w:right="480" w:hanging="328"/>
        <w:spacing w:after="0" w:line="265" w:lineRule="auto"/>
        <w:tabs>
          <w:tab w:leader="none" w:pos="634"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All officers of the Company or of Semiconductor Components Industries, LLC (“</w:t>
      </w:r>
      <w:r>
        <w:rPr>
          <w:rFonts w:ascii="Arial" w:cs="Arial" w:eastAsia="Arial" w:hAnsi="Arial"/>
          <w:sz w:val="18"/>
          <w:szCs w:val="18"/>
          <w:b w:val="1"/>
          <w:bCs w:val="1"/>
          <w:u w:val="single" w:color="auto"/>
          <w:color w:val="auto"/>
        </w:rPr>
        <w:t>SCI LLC</w:t>
      </w:r>
      <w:r>
        <w:rPr>
          <w:rFonts w:ascii="Arial" w:cs="Arial" w:eastAsia="Arial" w:hAnsi="Arial"/>
          <w:sz w:val="18"/>
          <w:szCs w:val="18"/>
          <w:b w:val="1"/>
          <w:bCs w:val="1"/>
          <w:color w:val="auto"/>
        </w:rPr>
        <w:t>”) who hold at least one of the following titles:</w:t>
      </w:r>
    </w:p>
    <w:p>
      <w:pPr>
        <w:spacing w:after="0" w:line="109" w:lineRule="exact"/>
        <w:rPr>
          <w:rFonts w:ascii="Arial" w:cs="Arial" w:eastAsia="Arial" w:hAnsi="Arial"/>
          <w:sz w:val="18"/>
          <w:szCs w:val="18"/>
          <w:b w:val="1"/>
          <w:bCs w:val="1"/>
          <w:color w:val="auto"/>
        </w:rPr>
      </w:pPr>
    </w:p>
    <w:p>
      <w:pPr>
        <w:ind w:left="1300" w:hanging="644"/>
        <w:spacing w:after="0"/>
        <w:tabs>
          <w:tab w:leader="none" w:pos="13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President,</w:t>
      </w:r>
    </w:p>
    <w:p>
      <w:pPr>
        <w:ind w:left="1300" w:hanging="644"/>
        <w:spacing w:after="0" w:line="219" w:lineRule="auto"/>
        <w:tabs>
          <w:tab w:leader="none" w:pos="13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Chief Executive Officer,</w:t>
      </w:r>
    </w:p>
    <w:p>
      <w:pPr>
        <w:ind w:left="1280" w:hanging="624"/>
        <w:spacing w:after="0" w:line="203" w:lineRule="auto"/>
        <w:tabs>
          <w:tab w:leader="none" w:pos="12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Chief Financial Officer,</w:t>
      </w:r>
    </w:p>
    <w:p>
      <w:pPr>
        <w:ind w:left="1300" w:hanging="644"/>
        <w:spacing w:after="0" w:line="203" w:lineRule="auto"/>
        <w:tabs>
          <w:tab w:leader="none" w:pos="13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Chief Information Security Officer,</w:t>
      </w:r>
    </w:p>
    <w:p>
      <w:pPr>
        <w:ind w:left="1300" w:hanging="644"/>
        <w:spacing w:after="0" w:line="219" w:lineRule="auto"/>
        <w:tabs>
          <w:tab w:leader="none" w:pos="13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Chief Accounting Officer</w:t>
      </w:r>
    </w:p>
    <w:p>
      <w:pPr>
        <w:ind w:left="1280" w:hanging="624"/>
        <w:spacing w:after="0" w:line="203" w:lineRule="auto"/>
        <w:tabs>
          <w:tab w:leader="none" w:pos="1280" w:val="left"/>
        </w:tabs>
        <w:numPr>
          <w:ilvl w:val="2"/>
          <w:numId w:val="63"/>
        </w:numPr>
        <w:rPr>
          <w:rFonts w:ascii="Arial" w:cs="Arial" w:eastAsia="Arial" w:hAnsi="Arial"/>
          <w:sz w:val="18"/>
          <w:szCs w:val="18"/>
          <w:color w:val="auto"/>
        </w:rPr>
      </w:pPr>
      <w:r>
        <w:rPr>
          <w:rFonts w:ascii="Arial" w:cs="Arial" w:eastAsia="Arial" w:hAnsi="Arial"/>
          <w:sz w:val="18"/>
          <w:szCs w:val="18"/>
          <w:color w:val="auto"/>
        </w:rPr>
        <w:t>Chief Legal Officer,</w:t>
      </w:r>
    </w:p>
    <w:p>
      <w:pPr>
        <w:ind w:left="1300" w:hanging="644"/>
        <w:spacing w:after="0" w:line="203" w:lineRule="auto"/>
        <w:tabs>
          <w:tab w:leader="none" w:pos="13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Any Executive Vice President,</w:t>
      </w:r>
    </w:p>
    <w:p>
      <w:pPr>
        <w:ind w:left="1300" w:hanging="644"/>
        <w:spacing w:after="0" w:line="219" w:lineRule="auto"/>
        <w:tabs>
          <w:tab w:leader="none" w:pos="13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Any Senior Vice President,</w:t>
      </w:r>
    </w:p>
    <w:p>
      <w:pPr>
        <w:ind w:left="1300" w:hanging="644"/>
        <w:spacing w:after="0" w:line="203" w:lineRule="auto"/>
        <w:tabs>
          <w:tab w:leader="none" w:pos="13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Any Vice President,</w:t>
      </w:r>
    </w:p>
    <w:p>
      <w:pPr>
        <w:ind w:left="1300" w:hanging="644"/>
        <w:spacing w:after="0" w:line="203" w:lineRule="auto"/>
        <w:tabs>
          <w:tab w:leader="none" w:pos="13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Treasurer,</w:t>
      </w:r>
    </w:p>
    <w:p>
      <w:pPr>
        <w:ind w:left="1300" w:hanging="644"/>
        <w:spacing w:after="0" w:line="219" w:lineRule="auto"/>
        <w:tabs>
          <w:tab w:leader="none" w:pos="13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Secretary, and</w:t>
      </w:r>
    </w:p>
    <w:p>
      <w:pPr>
        <w:ind w:left="1300" w:hanging="644"/>
        <w:spacing w:after="0"/>
        <w:tabs>
          <w:tab w:leader="none" w:pos="13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Assistant Secretary.</w:t>
      </w:r>
    </w:p>
    <w:p>
      <w:pPr>
        <w:spacing w:after="0" w:line="193" w:lineRule="exact"/>
        <w:rPr>
          <w:rFonts w:ascii="Arial" w:cs="Arial" w:eastAsia="Arial" w:hAnsi="Arial"/>
          <w:sz w:val="18"/>
          <w:szCs w:val="18"/>
          <w:color w:val="auto"/>
        </w:rPr>
      </w:pPr>
    </w:p>
    <w:p>
      <w:pPr>
        <w:ind w:left="640" w:hanging="308"/>
        <w:spacing w:after="0"/>
        <w:tabs>
          <w:tab w:leader="none" w:pos="64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Other onsemi Insiders</w:t>
      </w:r>
    </w:p>
    <w:p>
      <w:pPr>
        <w:spacing w:after="0" w:line="198" w:lineRule="exact"/>
        <w:rPr>
          <w:sz w:val="20"/>
          <w:szCs w:val="20"/>
          <w:color w:val="auto"/>
        </w:rPr>
      </w:pPr>
    </w:p>
    <w:p>
      <w:pPr>
        <w:ind w:left="340" w:firstLine="648"/>
        <w:spacing w:after="0" w:line="296" w:lineRule="auto"/>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b w:val="1"/>
          <w:bCs w:val="1"/>
          <w:color w:val="auto"/>
        </w:rPr>
        <w:t>onsemi</w:t>
      </w:r>
      <w:r>
        <w:rPr>
          <w:rFonts w:ascii="Arial" w:cs="Arial" w:eastAsia="Arial" w:hAnsi="Arial"/>
          <w:sz w:val="18"/>
          <w:szCs w:val="18"/>
          <w:color w:val="auto"/>
        </w:rPr>
        <w:t xml:space="preserve"> employees who have regular access to financial or other material information about </w:t>
      </w:r>
      <w:r>
        <w:rPr>
          <w:rFonts w:ascii="Arial" w:cs="Arial" w:eastAsia="Arial" w:hAnsi="Arial"/>
          <w:sz w:val="18"/>
          <w:szCs w:val="18"/>
          <w:b w:val="1"/>
          <w:bCs w:val="1"/>
          <w:color w:val="auto"/>
        </w:rPr>
        <w:t>onsemi</w:t>
      </w:r>
      <w:r>
        <w:rPr>
          <w:rFonts w:ascii="Arial" w:cs="Arial" w:eastAsia="Arial" w:hAnsi="Arial"/>
          <w:sz w:val="18"/>
          <w:szCs w:val="18"/>
          <w:color w:val="auto"/>
        </w:rPr>
        <w:t xml:space="preserve"> prior to its public disclosure are also considered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Insiders. These include the following:</w:t>
      </w:r>
    </w:p>
    <w:p>
      <w:pPr>
        <w:spacing w:after="0" w:line="124" w:lineRule="exact"/>
        <w:rPr>
          <w:sz w:val="20"/>
          <w:szCs w:val="20"/>
          <w:color w:val="auto"/>
        </w:rPr>
      </w:pPr>
    </w:p>
    <w:p>
      <w:pPr>
        <w:ind w:left="1300" w:hanging="644"/>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All employees who </w:t>
      </w:r>
      <w:r>
        <w:rPr>
          <w:rFonts w:ascii="Arial" w:cs="Arial" w:eastAsia="Arial" w:hAnsi="Arial"/>
          <w:sz w:val="18"/>
          <w:szCs w:val="18"/>
          <w:u w:val="single" w:color="auto"/>
          <w:color w:val="auto"/>
        </w:rPr>
        <w:t>directly report</w:t>
      </w:r>
      <w:r>
        <w:rPr>
          <w:rFonts w:ascii="Arial" w:cs="Arial" w:eastAsia="Arial" w:hAnsi="Arial"/>
          <w:sz w:val="18"/>
          <w:szCs w:val="18"/>
          <w:color w:val="auto"/>
        </w:rPr>
        <w:t xml:space="preserve"> to any of the following officers of the Company or of SCI LLC:</w:t>
      </w:r>
    </w:p>
    <w:p>
      <w:pPr>
        <w:spacing w:after="0" w:line="184" w:lineRule="exact"/>
        <w:rPr>
          <w:rFonts w:ascii="Arial" w:cs="Arial" w:eastAsia="Arial" w:hAnsi="Arial"/>
          <w:sz w:val="18"/>
          <w:szCs w:val="18"/>
          <w:color w:val="auto"/>
        </w:rPr>
      </w:pPr>
    </w:p>
    <w:p>
      <w:pPr>
        <w:ind w:left="1940" w:hanging="636"/>
        <w:spacing w:after="0"/>
        <w:tabs>
          <w:tab w:leader="none" w:pos="1940" w:val="left"/>
        </w:tabs>
        <w:numPr>
          <w:ilvl w:val="2"/>
          <w:numId w:val="64"/>
        </w:numPr>
        <w:rPr>
          <w:rFonts w:ascii="Arial" w:cs="Arial" w:eastAsia="Arial" w:hAnsi="Arial"/>
          <w:sz w:val="18"/>
          <w:szCs w:val="18"/>
          <w:color w:val="auto"/>
        </w:rPr>
      </w:pPr>
      <w:r>
        <w:rPr>
          <w:rFonts w:ascii="Arial" w:cs="Arial" w:eastAsia="Arial" w:hAnsi="Arial"/>
          <w:sz w:val="18"/>
          <w:szCs w:val="18"/>
          <w:color w:val="auto"/>
        </w:rPr>
        <w:t>President;</w:t>
      </w:r>
    </w:p>
    <w:p>
      <w:pPr>
        <w:ind w:left="1940" w:hanging="636"/>
        <w:spacing w:after="0" w:line="203" w:lineRule="auto"/>
        <w:tabs>
          <w:tab w:leader="none" w:pos="1940" w:val="left"/>
        </w:tabs>
        <w:numPr>
          <w:ilvl w:val="2"/>
          <w:numId w:val="64"/>
        </w:numPr>
        <w:rPr>
          <w:rFonts w:ascii="Arial" w:cs="Arial" w:eastAsia="Arial" w:hAnsi="Arial"/>
          <w:sz w:val="18"/>
          <w:szCs w:val="18"/>
          <w:color w:val="auto"/>
        </w:rPr>
      </w:pPr>
      <w:r>
        <w:rPr>
          <w:rFonts w:ascii="Arial" w:cs="Arial" w:eastAsia="Arial" w:hAnsi="Arial"/>
          <w:sz w:val="18"/>
          <w:szCs w:val="18"/>
          <w:color w:val="auto"/>
        </w:rPr>
        <w:t>Chief Executive Officer;</w:t>
      </w:r>
    </w:p>
    <w:p>
      <w:pPr>
        <w:ind w:left="1920" w:hanging="616"/>
        <w:spacing w:after="0" w:line="219" w:lineRule="auto"/>
        <w:tabs>
          <w:tab w:leader="none" w:pos="19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Chief Financial Officer;</w:t>
      </w:r>
    </w:p>
    <w:p>
      <w:pPr>
        <w:ind w:left="1920" w:hanging="616"/>
        <w:spacing w:after="0" w:line="203" w:lineRule="auto"/>
        <w:tabs>
          <w:tab w:leader="none" w:pos="19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Chief Accounting Officer;</w:t>
      </w:r>
    </w:p>
    <w:p>
      <w:pPr>
        <w:ind w:left="1920" w:hanging="616"/>
        <w:spacing w:after="0" w:line="203" w:lineRule="auto"/>
        <w:tabs>
          <w:tab w:leader="none" w:pos="19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Chief Legal Officer;</w:t>
      </w:r>
    </w:p>
    <w:p>
      <w:pPr>
        <w:ind w:left="1920" w:hanging="616"/>
        <w:spacing w:after="0" w:line="219" w:lineRule="auto"/>
        <w:tabs>
          <w:tab w:leader="none" w:pos="19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Treasurer;</w:t>
      </w:r>
    </w:p>
    <w:p>
      <w:pPr>
        <w:ind w:left="1920" w:hanging="616"/>
        <w:spacing w:after="0" w:line="203" w:lineRule="auto"/>
        <w:tabs>
          <w:tab w:leader="none" w:pos="19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Executive Vice President;</w:t>
      </w:r>
    </w:p>
    <w:p>
      <w:pPr>
        <w:ind w:left="1920" w:hanging="616"/>
        <w:spacing w:after="0" w:line="203" w:lineRule="auto"/>
        <w:tabs>
          <w:tab w:leader="none" w:pos="19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Senior Vice President; or</w:t>
      </w:r>
    </w:p>
    <w:p>
      <w:pPr>
        <w:ind w:left="1940" w:hanging="636"/>
        <w:spacing w:after="0"/>
        <w:tabs>
          <w:tab w:leader="none" w:pos="194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Vice President or above of SCI LLC who works within a business unit</w:t>
      </w:r>
      <w:r>
        <w:rPr>
          <w:rFonts w:ascii="Arial" w:cs="Arial" w:eastAsia="Arial" w:hAnsi="Arial"/>
          <w:sz w:val="18"/>
          <w:szCs w:val="18"/>
          <w:b w:val="1"/>
          <w:bCs w:val="1"/>
          <w:color w:val="auto"/>
        </w:rPr>
        <w:t>.</w:t>
      </w:r>
    </w:p>
    <w:p>
      <w:pPr>
        <w:spacing w:after="0" w:line="180" w:lineRule="exact"/>
        <w:rPr>
          <w:rFonts w:ascii="Arial" w:cs="Arial" w:eastAsia="Arial" w:hAnsi="Arial"/>
          <w:sz w:val="18"/>
          <w:szCs w:val="18"/>
          <w:color w:val="auto"/>
        </w:rPr>
      </w:pPr>
    </w:p>
    <w:p>
      <w:pPr>
        <w:ind w:left="1300" w:right="220" w:hanging="644"/>
        <w:spacing w:after="0" w:line="213" w:lineRule="auto"/>
        <w:tabs>
          <w:tab w:leader="none" w:pos="1288"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Each employee in the </w:t>
      </w:r>
      <w:r>
        <w:rPr>
          <w:rFonts w:ascii="Arial" w:cs="Arial" w:eastAsia="Arial" w:hAnsi="Arial"/>
          <w:sz w:val="18"/>
          <w:szCs w:val="18"/>
          <w:b w:val="1"/>
          <w:bCs w:val="1"/>
          <w:color w:val="auto"/>
        </w:rPr>
        <w:t>onsemi</w:t>
      </w:r>
      <w:r>
        <w:rPr>
          <w:rFonts w:ascii="Arial" w:cs="Arial" w:eastAsia="Arial" w:hAnsi="Arial"/>
          <w:sz w:val="18"/>
          <w:szCs w:val="18"/>
          <w:color w:val="auto"/>
        </w:rPr>
        <w:t xml:space="preserve"> Finance Department or Law Department, unless otherwise determined by the CEO, CFO or CCO;</w:t>
      </w:r>
    </w:p>
    <w:p>
      <w:pPr>
        <w:spacing w:after="0" w:line="1" w:lineRule="exact"/>
        <w:rPr>
          <w:rFonts w:ascii="Arial" w:cs="Arial" w:eastAsia="Arial" w:hAnsi="Arial"/>
          <w:sz w:val="18"/>
          <w:szCs w:val="18"/>
          <w:color w:val="auto"/>
        </w:rPr>
      </w:pPr>
    </w:p>
    <w:p>
      <w:pPr>
        <w:ind w:left="1300" w:right="220" w:hanging="644"/>
        <w:spacing w:after="0" w:line="211" w:lineRule="auto"/>
        <w:tabs>
          <w:tab w:leader="none" w:pos="1278"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onsemi </w:t>
      </w:r>
      <w:r>
        <w:rPr>
          <w:rFonts w:ascii="Arial" w:cs="Arial" w:eastAsia="Arial" w:hAnsi="Arial"/>
          <w:sz w:val="18"/>
          <w:szCs w:val="18"/>
          <w:color w:val="auto"/>
        </w:rPr>
        <w:t>employees who regularly receive or help prepare: Company Board of Directors and/or Board Committee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reports, or </w:t>
      </w:r>
      <w:r>
        <w:rPr>
          <w:rFonts w:ascii="Arial" w:cs="Arial" w:eastAsia="Arial" w:hAnsi="Arial"/>
          <w:sz w:val="18"/>
          <w:szCs w:val="18"/>
          <w:b w:val="1"/>
          <w:bCs w:val="1"/>
          <w:color w:val="auto"/>
        </w:rPr>
        <w:t>onsemi</w:t>
      </w:r>
      <w:r>
        <w:rPr>
          <w:rFonts w:ascii="Arial" w:cs="Arial" w:eastAsia="Arial" w:hAnsi="Arial"/>
          <w:sz w:val="18"/>
          <w:szCs w:val="18"/>
          <w:color w:val="auto"/>
        </w:rPr>
        <w:t xml:space="preserve"> “KPI” reports and similar corporate-level management reports and their successors; and</w:t>
      </w:r>
    </w:p>
    <w:p>
      <w:pPr>
        <w:ind w:left="1300" w:hanging="644"/>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Any other person or persons designated as an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Insider by the CEO, CFO or CCO.</w:t>
      </w:r>
    </w:p>
    <w:p>
      <w:pPr>
        <w:spacing w:after="0" w:line="180" w:lineRule="exact"/>
        <w:rPr>
          <w:rFonts w:ascii="Arial" w:cs="Arial" w:eastAsia="Arial" w:hAnsi="Arial"/>
          <w:sz w:val="18"/>
          <w:szCs w:val="18"/>
          <w:color w:val="auto"/>
        </w:rPr>
      </w:pPr>
    </w:p>
    <w:p>
      <w:pPr>
        <w:ind w:left="300" w:hanging="292"/>
        <w:spacing w:after="0"/>
        <w:tabs>
          <w:tab w:leader="none" w:pos="3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Preclearance Group</w:t>
      </w:r>
      <w:r>
        <w:rPr>
          <w:rFonts w:ascii="Arial" w:cs="Arial" w:eastAsia="Arial" w:hAnsi="Arial"/>
          <w:sz w:val="18"/>
          <w:szCs w:val="18"/>
          <w:b w:val="1"/>
          <w:bCs w:val="1"/>
          <w:color w:val="auto"/>
        </w:rPr>
        <w:t xml:space="preserve">. </w:t>
      </w:r>
      <w:r>
        <w:rPr>
          <w:rFonts w:ascii="Arial" w:cs="Arial" w:eastAsia="Arial" w:hAnsi="Arial"/>
          <w:sz w:val="18"/>
          <w:szCs w:val="18"/>
          <w:color w:val="auto"/>
        </w:rPr>
        <w:t>The “Preclearance Group” is a subset of Insiders, consisting of the following:</w:t>
      </w:r>
    </w:p>
    <w:p>
      <w:pPr>
        <w:spacing w:after="0" w:line="225" w:lineRule="exact"/>
        <w:rPr>
          <w:sz w:val="20"/>
          <w:szCs w:val="20"/>
          <w:color w:val="auto"/>
        </w:rPr>
      </w:pPr>
    </w:p>
    <w:p>
      <w:pPr>
        <w:ind w:left="1000" w:hanging="344"/>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member of the Board;</w:t>
      </w:r>
    </w:p>
    <w:p>
      <w:pPr>
        <w:spacing w:after="0" w:line="27" w:lineRule="exact"/>
        <w:rPr>
          <w:rFonts w:ascii="Arial" w:cs="Arial" w:eastAsia="Arial" w:hAnsi="Arial"/>
          <w:sz w:val="18"/>
          <w:szCs w:val="18"/>
          <w:color w:val="auto"/>
        </w:rPr>
      </w:pPr>
    </w:p>
    <w:p>
      <w:pPr>
        <w:ind w:left="960" w:hanging="30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Insider who is designated as a Vice President or above;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As amended and restated on November 16,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Appendix 1-1</w:t>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u w:val="single" w:color="auto"/>
          <w:color w:val="auto"/>
        </w:rPr>
        <w:t>Appendix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4" w:right="260" w:hanging="324"/>
        <w:spacing w:after="0" w:line="260" w:lineRule="auto"/>
        <w:tabs>
          <w:tab w:leader="none" w:pos="298"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onsemi</w:t>
      </w:r>
      <w:r>
        <w:rPr>
          <w:rFonts w:ascii="Arial" w:cs="Arial" w:eastAsia="Arial" w:hAnsi="Arial"/>
          <w:sz w:val="18"/>
          <w:szCs w:val="18"/>
          <w:color w:val="auto"/>
        </w:rPr>
        <w:t xml:space="preserve"> employee who holds, or who directly reports to a person who holds, the title of Treasurer, Corporate Controller, or Director or above of Investor Relations;</w:t>
      </w:r>
    </w:p>
    <w:p>
      <w:pPr>
        <w:spacing w:after="0" w:line="1" w:lineRule="exact"/>
        <w:rPr>
          <w:rFonts w:ascii="Arial" w:cs="Arial" w:eastAsia="Arial" w:hAnsi="Arial"/>
          <w:sz w:val="18"/>
          <w:szCs w:val="18"/>
          <w:color w:val="auto"/>
        </w:rPr>
      </w:pPr>
    </w:p>
    <w:p>
      <w:pPr>
        <w:ind w:left="324" w:right="180" w:hanging="324"/>
        <w:spacing w:after="0" w:line="250" w:lineRule="auto"/>
        <w:tabs>
          <w:tab w:leader="none" w:pos="298"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Any </w:t>
      </w:r>
      <w:r>
        <w:rPr>
          <w:rFonts w:ascii="Arial" w:cs="Arial" w:eastAsia="Arial" w:hAnsi="Arial"/>
          <w:sz w:val="18"/>
          <w:szCs w:val="18"/>
          <w:b w:val="1"/>
          <w:bCs w:val="1"/>
          <w:color w:val="auto"/>
        </w:rPr>
        <w:t>onsemi</w:t>
      </w:r>
      <w:r>
        <w:rPr>
          <w:rFonts w:ascii="Arial" w:cs="Arial" w:eastAsia="Arial" w:hAnsi="Arial"/>
          <w:sz w:val="18"/>
          <w:szCs w:val="18"/>
          <w:color w:val="auto"/>
        </w:rPr>
        <w:t xml:space="preserve"> employee who holds, or who directly reports to a person who holds, the title of, or is designated as, Vice President or above of Corporate Marketing Communications;</w:t>
      </w:r>
    </w:p>
    <w:p>
      <w:pPr>
        <w:ind w:left="304" w:hanging="304"/>
        <w:spacing w:after="0"/>
        <w:tabs>
          <w:tab w:leader="none" w:pos="3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Any other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Insider so designated by the CEO, CFO or CCO; and</w:t>
      </w:r>
    </w:p>
    <w:p>
      <w:pPr>
        <w:spacing w:after="0" w:line="9" w:lineRule="exact"/>
        <w:rPr>
          <w:rFonts w:ascii="Arial" w:cs="Arial" w:eastAsia="Arial" w:hAnsi="Arial"/>
          <w:sz w:val="18"/>
          <w:szCs w:val="18"/>
          <w:color w:val="auto"/>
        </w:rPr>
      </w:pPr>
    </w:p>
    <w:p>
      <w:pPr>
        <w:ind w:left="304" w:hanging="304"/>
        <w:spacing w:after="0"/>
        <w:tabs>
          <w:tab w:leader="none" w:pos="3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Affiliate of any of the above.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636"/>
        <w:spacing w:after="0"/>
        <w:rPr>
          <w:sz w:val="20"/>
          <w:szCs w:val="20"/>
          <w:color w:val="auto"/>
        </w:rPr>
      </w:pPr>
      <w:r>
        <w:rPr>
          <w:rFonts w:ascii="Arial" w:cs="Arial" w:eastAsia="Arial" w:hAnsi="Arial"/>
          <w:sz w:val="14"/>
          <w:szCs w:val="14"/>
          <w:color w:val="auto"/>
        </w:rPr>
        <w:t>Insider Trading Policy</w:t>
      </w:r>
    </w:p>
    <w:p>
      <w:pPr>
        <w:spacing w:after="0" w:line="15" w:lineRule="exact"/>
        <w:rPr>
          <w:sz w:val="20"/>
          <w:szCs w:val="20"/>
          <w:color w:val="auto"/>
        </w:rPr>
      </w:pPr>
    </w:p>
    <w:p>
      <w:pPr>
        <w:jc w:val="center"/>
        <w:ind w:right="636"/>
        <w:spacing w:after="0"/>
        <w:rPr>
          <w:sz w:val="20"/>
          <w:szCs w:val="20"/>
          <w:color w:val="auto"/>
        </w:rPr>
      </w:pPr>
      <w:r>
        <w:rPr>
          <w:rFonts w:ascii="Arial" w:cs="Arial" w:eastAsia="Arial" w:hAnsi="Arial"/>
          <w:sz w:val="14"/>
          <w:szCs w:val="14"/>
          <w:color w:val="auto"/>
        </w:rPr>
        <w:t>As amended and restated on November 16, 2023</w:t>
      </w:r>
    </w:p>
    <w:p>
      <w:pPr>
        <w:spacing w:after="0" w:line="15" w:lineRule="exact"/>
        <w:rPr>
          <w:sz w:val="20"/>
          <w:szCs w:val="20"/>
          <w:color w:val="auto"/>
        </w:rPr>
      </w:pPr>
    </w:p>
    <w:p>
      <w:pPr>
        <w:ind w:left="4544"/>
        <w:spacing w:after="0"/>
        <w:rPr>
          <w:sz w:val="20"/>
          <w:szCs w:val="20"/>
          <w:color w:val="auto"/>
        </w:rPr>
      </w:pPr>
      <w:r>
        <w:rPr>
          <w:rFonts w:ascii="Arial" w:cs="Arial" w:eastAsia="Arial" w:hAnsi="Arial"/>
          <w:sz w:val="14"/>
          <w:szCs w:val="14"/>
          <w:color w:val="auto"/>
        </w:rPr>
        <w:t>Appendix 1-2</w:t>
      </w:r>
    </w:p>
    <w:p>
      <w:pPr>
        <w:sectPr>
          <w:pgSz w:w="11900" w:h="16838" w:orient="portrait"/>
          <w:cols w:equalWidth="0" w:num="1">
            <w:col w:w="10584"/>
          </w:cols>
          <w:pgMar w:left="976"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u w:val="single" w:color="auto"/>
          <w:color w:val="auto"/>
        </w:rPr>
        <w:t>Appendix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PRECLEARANCE APPLICATION FOR TRADING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detailed in our Insider Trading Policy, each member of the Preclearance Group who wants to buy or sell securities of ON Semiconductor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its subsidiaries, “</w:t>
      </w:r>
      <w:r>
        <w:rPr>
          <w:rFonts w:ascii="Arial" w:cs="Arial" w:eastAsia="Arial" w:hAnsi="Arial"/>
          <w:sz w:val="18"/>
          <w:szCs w:val="18"/>
          <w:b w:val="1"/>
          <w:bCs w:val="1"/>
          <w:color w:val="auto"/>
        </w:rPr>
        <w:t>onsemi</w:t>
      </w:r>
      <w:r>
        <w:rPr>
          <w:rFonts w:ascii="Arial" w:cs="Arial" w:eastAsia="Arial" w:hAnsi="Arial"/>
          <w:sz w:val="18"/>
          <w:szCs w:val="18"/>
          <w:color w:val="auto"/>
        </w:rPr>
        <w:t xml:space="preserve">”) must first preclear the proposed transaction with the </w:t>
      </w:r>
      <w:r>
        <w:rPr>
          <w:rFonts w:ascii="Arial" w:cs="Arial" w:eastAsia="Arial" w:hAnsi="Arial"/>
          <w:sz w:val="18"/>
          <w:szCs w:val="18"/>
          <w:b w:val="1"/>
          <w:bCs w:val="1"/>
          <w:color w:val="auto"/>
        </w:rPr>
        <w:t>onsemi</w:t>
      </w:r>
      <w:r>
        <w:rPr>
          <w:rFonts w:ascii="Arial" w:cs="Arial" w:eastAsia="Arial" w:hAnsi="Arial"/>
          <w:sz w:val="18"/>
          <w:szCs w:val="18"/>
          <w:color w:val="auto"/>
        </w:rPr>
        <w:t xml:space="preserve"> Law Department. If you are a member of the Preclearance Group and need to obtain approval for a proposed trade, you may either (1) submit an online preclearance application (if available </w:t>
      </w:r>
      <w:r>
        <w:rPr>
          <w:rFonts w:ascii="Arial" w:cs="Arial" w:eastAsia="Arial" w:hAnsi="Arial"/>
          <w:sz w:val="18"/>
          <w:szCs w:val="18"/>
          <w:u w:val="single" w:color="auto"/>
          <w:color w:val="auto"/>
        </w:rPr>
        <w:t>here</w:t>
      </w:r>
      <w:r>
        <w:rPr>
          <w:rFonts w:ascii="Arial" w:cs="Arial" w:eastAsia="Arial" w:hAnsi="Arial"/>
          <w:sz w:val="18"/>
          <w:szCs w:val="18"/>
          <w:color w:val="auto"/>
        </w:rPr>
        <w:t>) or (2) email a complete, executed copy of this form to [***]. In either case, you will receive a response no later than the next trading day.</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All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Insiders, including all members of the Preclearance Group, are prohibited from buying or selling Company securities except during trading “</w:t>
      </w:r>
      <w:r>
        <w:rPr>
          <w:rFonts w:ascii="Arial" w:cs="Arial" w:eastAsia="Arial" w:hAnsi="Arial"/>
          <w:sz w:val="18"/>
          <w:szCs w:val="18"/>
          <w:u w:val="single" w:color="auto"/>
          <w:color w:val="auto"/>
        </w:rPr>
        <w:t>Window Periods</w:t>
      </w:r>
      <w:r>
        <w:rPr>
          <w:rFonts w:ascii="Arial" w:cs="Arial" w:eastAsia="Arial" w:hAnsi="Arial"/>
          <w:sz w:val="18"/>
          <w:szCs w:val="18"/>
          <w:color w:val="auto"/>
        </w:rPr>
        <w:t xml:space="preserve">.” Each Window Period begins on the 2nd trading day after the day on which </w:t>
      </w:r>
      <w:r>
        <w:rPr>
          <w:rFonts w:ascii="Arial" w:cs="Arial" w:eastAsia="Arial" w:hAnsi="Arial"/>
          <w:sz w:val="18"/>
          <w:szCs w:val="18"/>
          <w:b w:val="1"/>
          <w:bCs w:val="1"/>
          <w:color w:val="auto"/>
        </w:rPr>
        <w:t>onsemi</w:t>
      </w:r>
      <w:r>
        <w:rPr>
          <w:rFonts w:ascii="Arial" w:cs="Arial" w:eastAsia="Arial" w:hAnsi="Arial"/>
          <w:sz w:val="18"/>
          <w:szCs w:val="18"/>
          <w:color w:val="auto"/>
        </w:rPr>
        <w:t xml:space="preserve"> publicly releases its annual or quarterly earnings for the previous fiscal period and ends on the 14th day prior to the end of the current fiscal quarter. Even during a Window Period, you may not trade if you have been notified that you are subject to an event-specific trading blackout or are aware of material nonpublic information (as defined in the Insider Trading Policy and in the Certification below).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If you have questions about this form or your proposed trade, please email [***].</w:t>
      </w:r>
    </w:p>
    <w:p>
      <w:pPr>
        <w:spacing w:after="0" w:line="117"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DO NOT EXECUTE YOUR PROPOSED TRADE UNLESS AND UNTIL YOU HAVE RECEIVED WRITTEN NOTICE FROM THE LAW DEPARTMENT THAT THIS REQUEST IS APPROVED.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-7620</wp:posOffset>
            </wp:positionV>
            <wp:extent cx="1270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-7620</wp:posOffset>
            </wp:positionV>
            <wp:extent cx="1270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Commerce ID (CID – see badge):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-7620</wp:posOffset>
            </wp:positionV>
            <wp:extent cx="1270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Are you a Section 16 Insider (subject to Rule 144)? YES/NO</w:t>
      </w:r>
    </w:p>
    <w:p>
      <w:pPr>
        <w:spacing w:after="0" w:line="117" w:lineRule="exact"/>
        <w:rPr>
          <w:sz w:val="20"/>
          <w:szCs w:val="20"/>
          <w:color w:val="auto"/>
        </w:rPr>
      </w:pPr>
    </w:p>
    <w:p>
      <w:pPr>
        <w:ind w:left="340" w:right="80"/>
        <w:spacing w:after="0" w:line="287" w:lineRule="auto"/>
        <w:rPr>
          <w:sz w:val="20"/>
          <w:szCs w:val="20"/>
          <w:color w:val="auto"/>
        </w:rPr>
      </w:pPr>
      <w:r>
        <w:rPr>
          <w:rFonts w:ascii="Arial" w:cs="Arial" w:eastAsia="Arial" w:hAnsi="Arial"/>
          <w:sz w:val="18"/>
          <w:szCs w:val="18"/>
          <w:color w:val="auto"/>
        </w:rPr>
        <w:t>If YES, provide dates of any transactions in Company stock during the last 6 months (other than ESPP purchases or the grant or vesting of equity awards):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______________________________________________________________________________________________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Proposed Trading Dates (maximum period of 4 trading days after the date on which you submit this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5494020</wp:posOffset>
            </wp:positionH>
            <wp:positionV relativeFrom="paragraph">
              <wp:posOffset>-7620</wp:posOffset>
            </wp:positionV>
            <wp:extent cx="1270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Type of Trade (Purchase/Sale):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-7620</wp:posOffset>
            </wp:positionV>
            <wp:extent cx="1270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Type of Security to be Traded: (Grant#/ESPP/RSU/RSA/PBRSU/Other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270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to be Traded (in total and, if applicable, for each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270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Proposed trade with [***]? YES/NO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NO, provide contact information for your broker (contact name, firm, email, and phone number):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______________________________________________________________________________________________</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on Proposed Trade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270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amended and restated on November 16, 2023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Appendix 2-1</w:t>
      </w:r>
    </w:p>
    <w:p>
      <w:pPr>
        <w:sectPr>
          <w:pgSz w:w="11900" w:h="16838" w:orient="portrait"/>
          <w:cols w:equalWidth="0" w:num="1">
            <w:col w:w="11240"/>
          </w:cols>
          <w:pgMar w:left="320" w:top="115"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u w:val="single" w:color="auto"/>
          <w:color w:val="auto"/>
        </w:rPr>
        <w:t>Appendix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500" w:type="dxa"/>
            <w:vAlign w:val="bottom"/>
          </w:tcPr>
          <w:p>
            <w:pPr>
              <w:ind w:left="3200"/>
              <w:spacing w:after="0"/>
              <w:rPr>
                <w:sz w:val="20"/>
                <w:szCs w:val="20"/>
                <w:color w:val="auto"/>
              </w:rPr>
            </w:pPr>
            <w:r>
              <w:rPr>
                <w:rFonts w:ascii="Arial" w:cs="Arial" w:eastAsia="Arial" w:hAnsi="Arial"/>
                <w:sz w:val="18"/>
                <w:szCs w:val="18"/>
                <w:b w:val="1"/>
                <w:bCs w:val="1"/>
                <w:color w:val="auto"/>
              </w:rPr>
              <w:t>CERTIFICATION</w:t>
            </w:r>
          </w:p>
        </w:tc>
      </w:tr>
      <w:tr>
        <w:trPr>
          <w:trHeight w:val="623"/>
        </w:trPr>
        <w:tc>
          <w:tcPr>
            <w:tcW w:w="180" w:type="dxa"/>
            <w:vAlign w:val="bottom"/>
          </w:tcPr>
          <w:p>
            <w:pPr>
              <w:spacing w:after="0"/>
              <w:rPr>
                <w:sz w:val="20"/>
                <w:szCs w:val="20"/>
                <w:color w:val="auto"/>
              </w:rPr>
            </w:pPr>
            <w:r>
              <w:rPr>
                <w:rFonts w:ascii="Arial" w:cs="Arial" w:eastAsia="Arial" w:hAnsi="Arial"/>
                <w:sz w:val="18"/>
                <w:szCs w:val="18"/>
                <w:color w:val="auto"/>
              </w:rPr>
              <w:t>I,</w:t>
            </w:r>
          </w:p>
        </w:tc>
        <w:tc>
          <w:tcPr>
            <w:tcW w:w="1560" w:type="dxa"/>
            <w:vAlign w:val="bottom"/>
            <w:tcBorders>
              <w:bottom w:val="single" w:sz="8" w:color="auto"/>
            </w:tcBorders>
          </w:tcPr>
          <w:p>
            <w:pPr>
              <w:spacing w:after="0"/>
              <w:rPr>
                <w:sz w:val="24"/>
                <w:szCs w:val="24"/>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 hereby certify that I am not in possession of any material nonpublic information (as described in the next sentence)</w:t>
            </w:r>
          </w:p>
        </w:tc>
      </w:tr>
    </w:tbl>
    <w:p>
      <w:pPr>
        <w:spacing w:after="0" w:line="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 xml:space="preserve">concerning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 understand that “material nonpublic information” is information concerning </w:t>
      </w:r>
      <w:r>
        <w:rPr>
          <w:rFonts w:ascii="Arial" w:cs="Arial" w:eastAsia="Arial" w:hAnsi="Arial"/>
          <w:sz w:val="18"/>
          <w:szCs w:val="18"/>
          <w:b w:val="1"/>
          <w:bCs w:val="1"/>
          <w:color w:val="auto"/>
        </w:rPr>
        <w:t>onsemi</w:t>
      </w:r>
      <w:r>
        <w:rPr>
          <w:rFonts w:ascii="Arial" w:cs="Arial" w:eastAsia="Arial" w:hAnsi="Arial"/>
          <w:sz w:val="18"/>
          <w:szCs w:val="18"/>
          <w:color w:val="auto"/>
        </w:rPr>
        <w:t xml:space="preserve"> that (A) is not generally known to the public and (B) if publicly known, would be likely to affect either the market price of Company securities or a person’s decision to buy, sell, or hold Company securities. I understand that if I trade while possessing such information, I may be subject to (1) severe civil or criminal penalties and (2) discipline by </w:t>
      </w:r>
      <w:r>
        <w:rPr>
          <w:rFonts w:ascii="Arial" w:cs="Arial" w:eastAsia="Arial" w:hAnsi="Arial"/>
          <w:sz w:val="18"/>
          <w:szCs w:val="18"/>
          <w:b w:val="1"/>
          <w:bCs w:val="1"/>
          <w:color w:val="auto"/>
        </w:rPr>
        <w:t>onsemi</w:t>
      </w:r>
      <w:r>
        <w:rPr>
          <w:rFonts w:ascii="Arial" w:cs="Arial" w:eastAsia="Arial" w:hAnsi="Arial"/>
          <w:sz w:val="18"/>
          <w:szCs w:val="18"/>
          <w:color w:val="auto"/>
        </w:rPr>
        <w:t xml:space="preserve"> up to and including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554355</wp:posOffset>
            </wp:positionV>
            <wp:extent cx="1270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127000" cy="8255"/>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554355</wp:posOffset>
            </wp:positionV>
            <wp:extent cx="1270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11" w:lineRule="exact"/>
        <w:rPr>
          <w:sz w:val="20"/>
          <w:szCs w:val="20"/>
          <w:color w:val="auto"/>
        </w:rPr>
      </w:pPr>
    </w:p>
    <w:p>
      <w:pPr>
        <w:sectPr>
          <w:pgSz w:w="11900" w:h="16838" w:orient="portrait"/>
          <w:cols w:equalWidth="0" w:num="2">
            <w:col w:w="4680" w:space="720"/>
            <w:col w:w="5840"/>
          </w:cols>
          <w:pgMar w:left="320" w:top="115" w:right="339" w:bottom="1440" w:gutter="0" w:footer="0" w:header="0"/>
          <w:type w:val="continuous"/>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REVIEW AND DECISION</w:t>
      </w:r>
    </w:p>
    <w:p>
      <w:pPr>
        <w:sectPr>
          <w:pgSz w:w="11900" w:h="16838" w:orient="portrait"/>
          <w:cols w:equalWidth="0" w:num="1">
            <w:col w:w="11240"/>
          </w:cols>
          <w:pgMar w:left="320" w:top="115" w:right="33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Chief Compliance Officer or Designee hereby certifies that he, she or they have reviewed the foregoing application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______ APPROVES the proposed trade, which must be effected no later than _____________________________; or ______ PROHIBITS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proposed trade(s).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580390</wp:posOffset>
            </wp:positionV>
            <wp:extent cx="1270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127000" cy="8255"/>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580390</wp:posOffset>
            </wp:positionV>
            <wp:extent cx="1270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5380" w:val="left"/>
        </w:tabs>
        <w:rPr>
          <w:sz w:val="20"/>
          <w:szCs w:val="20"/>
          <w:color w:val="auto"/>
        </w:rPr>
      </w:pPr>
      <w:r>
        <w:rPr>
          <w:rFonts w:ascii="Arial" w:cs="Arial" w:eastAsia="Arial" w:hAnsi="Arial"/>
          <w:sz w:val="18"/>
          <w:szCs w:val="18"/>
          <w:color w:val="auto"/>
        </w:rPr>
        <w:t>Chief Compliance Officer or Designee</w:t>
      </w:r>
      <w:r>
        <w:rPr>
          <w:sz w:val="20"/>
          <w:szCs w:val="20"/>
          <w:color w:val="auto"/>
        </w:rPr>
        <w:tab/>
      </w:r>
      <w:r>
        <w:rPr>
          <w:rFonts w:ascii="Arial" w:cs="Arial" w:eastAsia="Arial" w:hAnsi="Arial"/>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As amended and restated on November 16, 2023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Appendix 2-2</w:t>
      </w:r>
    </w:p>
    <w:p>
      <w:pPr>
        <w:sectPr>
          <w:pgSz w:w="11900" w:h="16838" w:orient="portrait"/>
          <w:cols w:equalWidth="0" w:num="1">
            <w:col w:w="11240"/>
          </w:cols>
          <w:pgMar w:left="320" w:top="115" w:right="339" w:bottom="1440" w:gutter="0" w:footer="0" w:header="0"/>
          <w:type w:val="continuous"/>
        </w:sectPr>
      </w:pPr>
    </w:p>
    <w:bookmarkStart w:id="117" w:name="page118"/>
    <w:bookmarkEnd w:id="117"/>
    <w:p>
      <w:pPr>
        <w:ind w:left="10280"/>
        <w:spacing w:after="0"/>
        <w:rPr>
          <w:sz w:val="20"/>
          <w:szCs w:val="20"/>
          <w:color w:val="auto"/>
        </w:rPr>
      </w:pPr>
      <w:r>
        <w:rPr>
          <w:rFonts w:ascii="Arial" w:cs="Arial" w:eastAsia="Arial" w:hAnsi="Arial"/>
          <w:sz w:val="17"/>
          <w:szCs w:val="17"/>
          <w:b w:val="1"/>
          <w:bCs w:val="1"/>
          <w:u w:val="single" w:color="auto"/>
          <w:color w:val="auto"/>
        </w:rPr>
        <w:t>Appendix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GUIDELINES FOR RULE 10B5-1 PLANS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Guidelines for Rule 10b5-1 Plans (the “</w:t>
      </w:r>
      <w:r>
        <w:rPr>
          <w:rFonts w:ascii="Arial" w:cs="Arial" w:eastAsia="Arial" w:hAnsi="Arial"/>
          <w:sz w:val="18"/>
          <w:szCs w:val="18"/>
          <w:b w:val="1"/>
          <w:bCs w:val="1"/>
          <w:color w:val="auto"/>
        </w:rPr>
        <w:t>Guidelines</w:t>
      </w:r>
      <w:r>
        <w:rPr>
          <w:rFonts w:ascii="Arial" w:cs="Arial" w:eastAsia="Arial" w:hAnsi="Arial"/>
          <w:sz w:val="18"/>
          <w:szCs w:val="18"/>
          <w:color w:val="auto"/>
        </w:rPr>
        <w:t>”) apply to any Rule 10b5-1 trading plan covering securities of ON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together with its subsidiaries, “</w:t>
      </w:r>
      <w:r>
        <w:rPr>
          <w:rFonts w:ascii="Arial" w:cs="Arial" w:eastAsia="Arial" w:hAnsi="Arial"/>
          <w:sz w:val="18"/>
          <w:szCs w:val="18"/>
          <w:b w:val="1"/>
          <w:bCs w:val="1"/>
          <w:color w:val="auto"/>
        </w:rPr>
        <w:t>onsemi</w:t>
      </w:r>
      <w:r>
        <w:rPr>
          <w:rFonts w:ascii="Arial" w:cs="Arial" w:eastAsia="Arial" w:hAnsi="Arial"/>
          <w:sz w:val="18"/>
          <w:szCs w:val="18"/>
          <w:color w:val="auto"/>
        </w:rPr>
        <w:t>”) proposed to be adopted by any person who is subject to the onsemi Insider Trading Policy (the “</w:t>
      </w:r>
      <w:r>
        <w:rPr>
          <w:rFonts w:ascii="Arial" w:cs="Arial" w:eastAsia="Arial" w:hAnsi="Arial"/>
          <w:sz w:val="18"/>
          <w:szCs w:val="18"/>
          <w:b w:val="1"/>
          <w:bCs w:val="1"/>
          <w:color w:val="auto"/>
        </w:rPr>
        <w:t>Policy</w:t>
      </w:r>
      <w:r>
        <w:rPr>
          <w:rFonts w:ascii="Arial" w:cs="Arial" w:eastAsia="Arial" w:hAnsi="Arial"/>
          <w:sz w:val="18"/>
          <w:szCs w:val="18"/>
          <w:color w:val="auto"/>
        </w:rPr>
        <w:t>”). All such Plans adopted, amended or modified by a person covered by the Policy must comply with the Policy, these Guidelines, and Rule 10b5-1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Capitalized terms used but not defined in these Guidelines have the meanings provided in the Policy.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Rule 10b5-1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Rule 10b5-1 under the Exchange Act provides a defense from insider trading liability under Rule 10b-5. To be eligible for this defense, a person subject to the Policy must enter into a Rule 10b5-1 Plan for transactions in Company Securities that meets certain conditions as specified below. A properly adopted and administered Rule 10b5-1 Plan should allow a covered person to trade in Company Securities on a systematic basis (and for Insiders, outside the Window Periods) even if he, she or they are aware of material nonpublic information at the time that the actual transactions take place.</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general, a Rule 10b5-1 Plan must be entered into at a time when the person entering into the plan is not aware of material nonpublic information. Once a Rule 10b5-1 Plan is adopted, the person who adopted the plan must not exercise any influence over the amount of securities to be traded, the price at which they are to be traded or the date of the trade. The Rule 10b5-1 Plan must either (i) specify the amount, pricing and timing of transactions in advance or (ii) delegate discretion on these matters to an independent third party.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Rule 10b5-1 Plan is a contract between you and your broker; the Company is not a party to that contract. However, before your broker accepts and fully executes your Rule 10b5-1 Plan, your broker will require the Company to review and approve your Rule 10b5-1 Plan to (i) ensure it satisfies the Company’s requirements (including these Guidelines) and (ii) make certain written representations. To receive Company approval, your Rule 10b5-1 Plan must meet the requirements of Rule 10b5-1 and the applicable “Plan Requirements” detailed below. Any modifications or terminations of a Rule 10b5-1 Plan must also be approved by the CCO or a Designee. Once the plan is approved by the CCO or a Designee, no further pre-approval of transactions conducted under the Rule 10b5-1 Plan will be required.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If you are an Insider, you must submit your finalized Rule 10b5-1 Plan (including your signature) to the CCO or Designee for review, approval and execution on behalf of the Company </w:t>
      </w:r>
      <w:r>
        <w:rPr>
          <w:rFonts w:ascii="Arial" w:cs="Arial" w:eastAsia="Arial" w:hAnsi="Arial"/>
          <w:sz w:val="18"/>
          <w:szCs w:val="18"/>
          <w:u w:val="single" w:color="auto"/>
          <w:color w:val="auto"/>
        </w:rPr>
        <w:t>at least five business days</w:t>
      </w:r>
      <w:r>
        <w:rPr>
          <w:rFonts w:ascii="Arial" w:cs="Arial" w:eastAsia="Arial" w:hAnsi="Arial"/>
          <w:sz w:val="18"/>
          <w:szCs w:val="18"/>
          <w:color w:val="auto"/>
        </w:rPr>
        <w:t xml:space="preserve"> before the end of the Window Period to ensure it will be processed before the Restricted Period begins.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Requirements</w:t>
      </w:r>
      <w:r>
        <w:rPr>
          <w:rFonts w:ascii="Arial" w:cs="Arial" w:eastAsia="Arial" w:hAnsi="Arial"/>
          <w:sz w:val="18"/>
          <w:szCs w:val="18"/>
          <w:color w:val="auto"/>
        </w:rPr>
        <w:t>. The following requirements apply to Rule 10b5-1 Plans:</w:t>
      </w:r>
    </w:p>
    <w:p>
      <w:pPr>
        <w:spacing w:after="0" w:line="225" w:lineRule="exact"/>
        <w:rPr>
          <w:sz w:val="20"/>
          <w:szCs w:val="20"/>
          <w:color w:val="auto"/>
        </w:rPr>
      </w:pPr>
    </w:p>
    <w:p>
      <w:pPr>
        <w:ind w:left="660" w:hanging="328"/>
        <w:spacing w:after="0" w:line="286" w:lineRule="auto"/>
        <w:tabs>
          <w:tab w:leader="none" w:pos="655"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Insiders may not enter into, modify or terminate a Rule 10b5-1 Plan during a Restricted Period, an event-specific Restricted Period or otherwise while in possession of material nonpublic information.</w:t>
      </w:r>
    </w:p>
    <w:p>
      <w:pPr>
        <w:spacing w:after="0" w:line="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Rules Specific to Section 16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amended and restated on November 16, 2023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Appendix 3-1</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u w:val="single" w:color="auto"/>
          <w:color w:val="auto"/>
        </w:rPr>
        <w:t>Appendix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300" w:hanging="320"/>
        <w:spacing w:after="0" w:line="261" w:lineRule="auto"/>
        <w:tabs>
          <w:tab w:leader="none" w:pos="1297" w:val="left"/>
        </w:tabs>
        <w:numPr>
          <w:ilvl w:val="0"/>
          <w:numId w:val="69"/>
        </w:numPr>
        <w:rPr>
          <w:rFonts w:ascii="Courier New" w:cs="Courier New" w:eastAsia="Courier New" w:hAnsi="Courier New"/>
          <w:sz w:val="18"/>
          <w:szCs w:val="18"/>
          <w:color w:val="auto"/>
        </w:rPr>
      </w:pPr>
      <w:r>
        <w:rPr>
          <w:rFonts w:ascii="Arial" w:cs="Arial" w:eastAsia="Arial" w:hAnsi="Arial"/>
          <w:sz w:val="18"/>
          <w:szCs w:val="18"/>
          <w:color w:val="auto"/>
        </w:rPr>
        <w:t xml:space="preserve">No transaction may take place under a Rule 10b5-1 Plan until the later of (i) 90 days after adoption or modification (as specified in Rule 10b5-1) of the Rule 10b5-1 Plan or (ii) two business days following the disclosure of </w:t>
      </w:r>
      <w:r>
        <w:rPr>
          <w:rFonts w:ascii="Arial" w:cs="Arial" w:eastAsia="Arial" w:hAnsi="Arial"/>
          <w:sz w:val="18"/>
          <w:szCs w:val="18"/>
          <w:b w:val="1"/>
          <w:bCs w:val="1"/>
          <w:color w:val="auto"/>
        </w:rPr>
        <w:t>onsemi’s</w:t>
      </w:r>
      <w:r>
        <w:rPr>
          <w:rFonts w:ascii="Arial" w:cs="Arial" w:eastAsia="Arial" w:hAnsi="Arial"/>
          <w:sz w:val="18"/>
          <w:szCs w:val="18"/>
          <w:color w:val="auto"/>
        </w:rPr>
        <w:t xml:space="preserve"> financial results in the Form 10-Q or Form 10-K covering the fiscal quarter in which the Rule 10b5-1 Plan was adopted or modified (as specified in Rule 10b5-1). In any event, the cooling-off period is subject to a maximum of 120 days after adoption of the plan.</w:t>
      </w:r>
    </w:p>
    <w:p>
      <w:pPr>
        <w:spacing w:after="0" w:line="67" w:lineRule="exact"/>
        <w:rPr>
          <w:rFonts w:ascii="Courier New" w:cs="Courier New" w:eastAsia="Courier New" w:hAnsi="Courier New"/>
          <w:sz w:val="18"/>
          <w:szCs w:val="18"/>
          <w:color w:val="auto"/>
        </w:rPr>
      </w:pPr>
    </w:p>
    <w:p>
      <w:pPr>
        <w:jc w:val="both"/>
        <w:ind w:left="1300" w:hanging="320"/>
        <w:spacing w:after="0" w:line="266" w:lineRule="auto"/>
        <w:tabs>
          <w:tab w:leader="none" w:pos="1297" w:val="left"/>
        </w:tabs>
        <w:numPr>
          <w:ilvl w:val="0"/>
          <w:numId w:val="69"/>
        </w:numPr>
        <w:rPr>
          <w:rFonts w:ascii="Courier New" w:cs="Courier New" w:eastAsia="Courier New" w:hAnsi="Courier New"/>
          <w:sz w:val="18"/>
          <w:szCs w:val="18"/>
          <w:color w:val="auto"/>
        </w:rPr>
      </w:pPr>
      <w:r>
        <w:rPr>
          <w:rFonts w:ascii="Arial" w:cs="Arial" w:eastAsia="Arial" w:hAnsi="Arial"/>
          <w:sz w:val="18"/>
          <w:szCs w:val="18"/>
          <w:color w:val="auto"/>
        </w:rPr>
        <w:t xml:space="preserve">Your plan must include representations that, at the time of adoption or modification of a Rule 10b5-1 Plan, (i) you are not aware of material nonpublic information about </w:t>
      </w:r>
      <w:r>
        <w:rPr>
          <w:rFonts w:ascii="Arial" w:cs="Arial" w:eastAsia="Arial" w:hAnsi="Arial"/>
          <w:sz w:val="18"/>
          <w:szCs w:val="18"/>
          <w:b w:val="1"/>
          <w:bCs w:val="1"/>
          <w:color w:val="auto"/>
        </w:rPr>
        <w:t>onsemi</w:t>
      </w:r>
      <w:r>
        <w:rPr>
          <w:rFonts w:ascii="Arial" w:cs="Arial" w:eastAsia="Arial" w:hAnsi="Arial"/>
          <w:sz w:val="18"/>
          <w:szCs w:val="18"/>
          <w:color w:val="auto"/>
        </w:rPr>
        <w:t xml:space="preserve"> or Company Securities and (ii) you are adopting the plan in good faith and not as part of plan or scheme to evade the prohibitions of Rule 10b-5.</w:t>
      </w:r>
    </w:p>
    <w:p>
      <w:pPr>
        <w:spacing w:after="0" w:line="63" w:lineRule="exact"/>
        <w:rPr>
          <w:rFonts w:ascii="Courier New" w:cs="Courier New" w:eastAsia="Courier New" w:hAnsi="Courier New"/>
          <w:sz w:val="18"/>
          <w:szCs w:val="18"/>
          <w:color w:val="auto"/>
        </w:rPr>
      </w:pPr>
    </w:p>
    <w:p>
      <w:pPr>
        <w:jc w:val="both"/>
        <w:ind w:left="1300" w:hanging="320"/>
        <w:spacing w:after="0" w:line="266" w:lineRule="auto"/>
        <w:tabs>
          <w:tab w:leader="none" w:pos="1297" w:val="left"/>
        </w:tabs>
        <w:numPr>
          <w:ilvl w:val="0"/>
          <w:numId w:val="69"/>
        </w:numPr>
        <w:rPr>
          <w:rFonts w:ascii="Courier New" w:cs="Courier New" w:eastAsia="Courier New" w:hAnsi="Courier New"/>
          <w:sz w:val="18"/>
          <w:szCs w:val="18"/>
          <w:color w:val="auto"/>
        </w:rPr>
      </w:pPr>
      <w:r>
        <w:rPr>
          <w:rFonts w:ascii="Arial" w:cs="Arial" w:eastAsia="Arial" w:hAnsi="Arial"/>
          <w:sz w:val="18"/>
          <w:szCs w:val="18"/>
          <w:color w:val="auto"/>
        </w:rPr>
        <w:t xml:space="preserve">Your plan must provide that the broker will provide notice of any trades under the plan to you and </w:t>
      </w:r>
      <w:r>
        <w:rPr>
          <w:rFonts w:ascii="Arial" w:cs="Arial" w:eastAsia="Arial" w:hAnsi="Arial"/>
          <w:sz w:val="18"/>
          <w:szCs w:val="18"/>
          <w:b w:val="1"/>
          <w:bCs w:val="1"/>
          <w:color w:val="auto"/>
        </w:rPr>
        <w:t>onsemi</w:t>
      </w:r>
      <w:r>
        <w:rPr>
          <w:rFonts w:ascii="Arial" w:cs="Arial" w:eastAsia="Arial" w:hAnsi="Arial"/>
          <w:sz w:val="18"/>
          <w:szCs w:val="18"/>
          <w:color w:val="auto"/>
        </w:rPr>
        <w:t xml:space="preserve"> with sufficient time to allow for you to make timely filings under the Exchange Act (i.e., no later than the close of business on the day of the trade).</w:t>
      </w:r>
    </w:p>
    <w:p>
      <w:pPr>
        <w:spacing w:after="0" w:line="64" w:lineRule="exact"/>
        <w:rPr>
          <w:sz w:val="20"/>
          <w:szCs w:val="20"/>
          <w:color w:val="auto"/>
        </w:rPr>
      </w:pPr>
    </w:p>
    <w:p>
      <w:pPr>
        <w:jc w:val="both"/>
        <w:ind w:left="1960" w:hanging="94"/>
        <w:spacing w:after="0" w:line="262" w:lineRule="auto"/>
        <w:rPr>
          <w:sz w:val="20"/>
          <w:szCs w:val="20"/>
          <w:color w:val="auto"/>
        </w:rPr>
      </w:pPr>
      <w:r>
        <w:rPr>
          <w:rFonts w:ascii="Arial" w:cs="Arial" w:eastAsia="Arial" w:hAnsi="Arial"/>
          <w:sz w:val="18"/>
          <w:szCs w:val="18"/>
          <w:color w:val="auto"/>
        </w:rPr>
        <w:t xml:space="preserve">Approval or adoption of a Rule 10b5-1 Plan does not impact your obligations under Section 16 of the Exchange Act, including disclosure obligations and potential liability for short-swing trading. </w:t>
      </w:r>
      <w:r>
        <w:rPr>
          <w:rFonts w:ascii="Arial" w:cs="Arial" w:eastAsia="Arial" w:hAnsi="Arial"/>
          <w:sz w:val="18"/>
          <w:szCs w:val="18"/>
          <w:b w:val="1"/>
          <w:bCs w:val="1"/>
          <w:color w:val="auto"/>
        </w:rPr>
        <w:t>onsemi</w:t>
      </w:r>
      <w:r>
        <w:rPr>
          <w:rFonts w:ascii="Arial" w:cs="Arial" w:eastAsia="Arial" w:hAnsi="Arial"/>
          <w:sz w:val="18"/>
          <w:szCs w:val="18"/>
          <w:color w:val="auto"/>
        </w:rPr>
        <w:t xml:space="preserve"> will assist you in making your Section 16 filings, but the obligation to comply with the securities laws (including Section 16 and Rule 10b5-1) is yours.</w:t>
      </w:r>
    </w:p>
    <w:p>
      <w:pPr>
        <w:spacing w:after="0" w:line="68" w:lineRule="exact"/>
        <w:rPr>
          <w:sz w:val="20"/>
          <w:szCs w:val="20"/>
          <w:color w:val="auto"/>
        </w:rPr>
      </w:pPr>
    </w:p>
    <w:p>
      <w:pPr>
        <w:jc w:val="both"/>
        <w:ind w:left="1300" w:hanging="320"/>
        <w:spacing w:after="0" w:line="270" w:lineRule="auto"/>
        <w:tabs>
          <w:tab w:leader="none" w:pos="1297" w:val="left"/>
        </w:tabs>
        <w:numPr>
          <w:ilvl w:val="1"/>
          <w:numId w:val="70"/>
        </w:numPr>
        <w:rPr>
          <w:rFonts w:ascii="Courier New" w:cs="Courier New" w:eastAsia="Courier New" w:hAnsi="Courier New"/>
          <w:sz w:val="18"/>
          <w:szCs w:val="18"/>
          <w:color w:val="auto"/>
        </w:rPr>
      </w:pPr>
      <w:r>
        <w:rPr>
          <w:rFonts w:ascii="Arial" w:cs="Arial" w:eastAsia="Arial" w:hAnsi="Arial"/>
          <w:sz w:val="18"/>
          <w:szCs w:val="18"/>
          <w:color w:val="auto"/>
        </w:rPr>
        <w:t xml:space="preserve">You and the Company must make certain disclosures in SEC filings concerning any Rule 10b5-1 Plans that you adopt. As such, you must agree to provide any information requested by </w:t>
      </w:r>
      <w:r>
        <w:rPr>
          <w:rFonts w:ascii="Arial" w:cs="Arial" w:eastAsia="Arial" w:hAnsi="Arial"/>
          <w:sz w:val="18"/>
          <w:szCs w:val="18"/>
          <w:b w:val="1"/>
          <w:bCs w:val="1"/>
          <w:color w:val="auto"/>
        </w:rPr>
        <w:t>onsemi</w:t>
      </w:r>
      <w:r>
        <w:rPr>
          <w:rFonts w:ascii="Arial" w:cs="Arial" w:eastAsia="Arial" w:hAnsi="Arial"/>
          <w:sz w:val="18"/>
          <w:szCs w:val="18"/>
          <w:color w:val="auto"/>
        </w:rPr>
        <w:t xml:space="preserve"> regarding your Rule 10b5-1 Plans for the purpose of providing the required disclosures or any other disclosures that </w:t>
      </w:r>
      <w:r>
        <w:rPr>
          <w:rFonts w:ascii="Arial" w:cs="Arial" w:eastAsia="Arial" w:hAnsi="Arial"/>
          <w:sz w:val="18"/>
          <w:szCs w:val="18"/>
          <w:b w:val="1"/>
          <w:bCs w:val="1"/>
          <w:color w:val="auto"/>
        </w:rPr>
        <w:t>onsemi</w:t>
      </w:r>
      <w:r>
        <w:rPr>
          <w:rFonts w:ascii="Arial" w:cs="Arial" w:eastAsia="Arial" w:hAnsi="Arial"/>
          <w:sz w:val="18"/>
          <w:szCs w:val="18"/>
          <w:color w:val="auto"/>
        </w:rPr>
        <w:t xml:space="preserve"> deems to be appropriate under the circumstances.</w:t>
      </w:r>
    </w:p>
    <w:p>
      <w:pPr>
        <w:spacing w:after="0" w:line="53" w:lineRule="exact"/>
        <w:rPr>
          <w:rFonts w:ascii="Courier New" w:cs="Courier New" w:eastAsia="Courier New" w:hAnsi="Courier New"/>
          <w:sz w:val="18"/>
          <w:szCs w:val="18"/>
          <w:color w:val="auto"/>
        </w:rPr>
      </w:pPr>
    </w:p>
    <w:p>
      <w:pPr>
        <w:ind w:left="660" w:hanging="328"/>
        <w:spacing w:after="0" w:line="286" w:lineRule="auto"/>
        <w:tabs>
          <w:tab w:leader="none" w:pos="655"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For persons other than Section 16 Insiders, no transaction may take place under a Rule 10b5-1 Plan until 30 days following the adoption or modification (as specified in Rule 10b5-1) of a Rule 10b5-1 Plan.</w:t>
      </w:r>
    </w:p>
    <w:p>
      <w:pPr>
        <w:spacing w:after="0" w:line="45"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certain limited exceptions specified in Rule 10b5-1, you may not enter into more than one Rule 10b5-1 Plan at the same time.</w:t>
      </w:r>
    </w:p>
    <w:p>
      <w:pPr>
        <w:spacing w:after="0" w:line="4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certain limited exceptions specified in Rule 10b5-1, you are limited to only one Rule 10b5-1 Plan that is designed to effect an open market purchase or sale of the total amount of securities subject to the Rule 10b-1 Plan as a single transaction in any 12-month period.</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You must act in good faith with respect to a Rule 10b5-1 Plan. A Rule 10b5-1 Plan cannot be entered into as part of a plan or scheme to evade the prohibition of Rule 10b-5. Therefore, although modifications to an existing Rule 10b5-1 Plan are not prohibited, a Rule 10b5-1 Plan should be adopted with the intention that it will not be amended or terminated prior to its expiration.</w:t>
      </w:r>
    </w:p>
    <w:p>
      <w:pPr>
        <w:spacing w:after="0" w:line="6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Your Rule 10b5-1 Plan must provide for suspension of trading (i) at the discretion of </w:t>
      </w:r>
      <w:r>
        <w:rPr>
          <w:rFonts w:ascii="Arial" w:cs="Arial" w:eastAsia="Arial" w:hAnsi="Arial"/>
          <w:sz w:val="18"/>
          <w:szCs w:val="18"/>
          <w:b w:val="1"/>
          <w:bCs w:val="1"/>
          <w:color w:val="auto"/>
        </w:rPr>
        <w:t>onsemi</w:t>
      </w:r>
      <w:r>
        <w:rPr>
          <w:rFonts w:ascii="Arial" w:cs="Arial" w:eastAsia="Arial" w:hAnsi="Arial"/>
          <w:sz w:val="18"/>
          <w:szCs w:val="18"/>
          <w:color w:val="auto"/>
        </w:rPr>
        <w:t xml:space="preserve"> or (ii) if legal, regulatory or contractual restrictions are imposed on you, or other events occur, that would prohibit sales under that plan.</w:t>
      </w:r>
    </w:p>
    <w:p>
      <w:pPr>
        <w:spacing w:after="0" w:line="4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Trading in Company Securities outside of your Rule 10b5-1 Plan could, in certain circumstances, jeopardize the validity of your Rule10b5-1 Plan. Therefore, if you adopt a Rule 10b5-1 Plan, you and your Affiliates are discouraged from trading in Company Securities outside of the Rule 10b5-1 Plan while it is in effect.</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Covered persons who are interested in entering into a Rule 10b5-1 Plan are urged to consult with their own personal legal and financial advisors to confirm their compliance with Rule 10b5-1 as well as to fully understand the ramifications of adopting and implementing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Insider Trading Policy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amended and restated on November 16, 2023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Appendix 3-2</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u w:val="single" w:color="auto"/>
          <w:color w:val="auto"/>
        </w:rPr>
        <w:t>Appendix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CHIEF COMPLIANCE OFFICER CONTACT INFORMATION</w:t>
      </w:r>
    </w:p>
    <w:p>
      <w:pPr>
        <w:spacing w:after="0" w:line="239" w:lineRule="exact"/>
        <w:rPr>
          <w:sz w:val="20"/>
          <w:szCs w:val="20"/>
          <w:color w:val="auto"/>
        </w:rPr>
      </w:pPr>
    </w:p>
    <w:p>
      <w:pPr>
        <w:ind w:left="4340"/>
        <w:spacing w:after="0"/>
        <w:rPr>
          <w:sz w:val="20"/>
          <w:szCs w:val="20"/>
          <w:color w:val="auto"/>
        </w:rPr>
      </w:pPr>
      <w:r>
        <w:rPr>
          <w:rFonts w:ascii="Arial" w:cs="Arial" w:eastAsia="Arial" w:hAnsi="Arial"/>
          <w:sz w:val="19"/>
          <w:szCs w:val="19"/>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00"/>
        <w:spacing w:after="0"/>
        <w:rPr>
          <w:sz w:val="20"/>
          <w:szCs w:val="20"/>
          <w:color w:val="auto"/>
        </w:rPr>
      </w:pPr>
      <w:r>
        <w:rPr>
          <w:rFonts w:ascii="Arial" w:cs="Arial" w:eastAsia="Arial" w:hAnsi="Arial"/>
          <w:sz w:val="14"/>
          <w:szCs w:val="14"/>
          <w:color w:val="auto"/>
        </w:rPr>
        <w:t>Insider Trading Policy</w:t>
      </w:r>
    </w:p>
    <w:p>
      <w:pPr>
        <w:spacing w:after="0" w:line="29" w:lineRule="exact"/>
        <w:rPr>
          <w:sz w:val="20"/>
          <w:szCs w:val="20"/>
          <w:color w:val="auto"/>
        </w:rPr>
      </w:pPr>
    </w:p>
    <w:p>
      <w:pPr>
        <w:jc w:val="center"/>
        <w:ind w:right="1100"/>
        <w:spacing w:after="0"/>
        <w:rPr>
          <w:sz w:val="20"/>
          <w:szCs w:val="20"/>
          <w:color w:val="auto"/>
        </w:rPr>
      </w:pPr>
      <w:r>
        <w:rPr>
          <w:rFonts w:ascii="Arial" w:cs="Arial" w:eastAsia="Arial" w:hAnsi="Arial"/>
          <w:sz w:val="14"/>
          <w:szCs w:val="14"/>
          <w:color w:val="auto"/>
        </w:rPr>
        <w:t>As amended and restated on November 16, 2023</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14"/>
          <w:szCs w:val="14"/>
          <w:color w:val="auto"/>
        </w:rPr>
        <w:t>Appendix 4-1</w:t>
      </w:r>
    </w:p>
    <w:p>
      <w:pPr>
        <w:sectPr>
          <w:pgSz w:w="11900" w:h="16838" w:orient="portrait"/>
          <w:cols w:equalWidth="0" w:num="1">
            <w:col w:w="10120"/>
          </w:cols>
          <w:pgMar w:left="1440" w:top="121"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ON SEMICONDUCTOR CORPORATION</w:t>
      </w:r>
    </w:p>
    <w:p>
      <w:pPr>
        <w:spacing w:after="0" w:line="29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u w:val="single" w:color="auto"/>
          <w:color w:val="auto"/>
        </w:rPr>
        <w:t xml:space="preserve">List of Subsidiaries as of 12/31/2024 </w:t>
      </w:r>
      <w:r>
        <w:rPr>
          <w:rFonts w:ascii="Times New Roman" w:cs="Times New Roman" w:eastAsia="Times New Roman" w:hAnsi="Times New Roman"/>
          <w:sz w:val="21"/>
          <w:szCs w:val="21"/>
          <w:u w:val="single" w:color="auto"/>
          <w:color w:val="auto"/>
          <w:vertAlign w:val="superscript"/>
        </w:rPr>
        <w:t>(1)</w:t>
      </w:r>
    </w:p>
    <w:p>
      <w:pPr>
        <w:sectPr>
          <w:pgSz w:w="11900" w:h="16838" w:orient="portrait"/>
          <w:cols w:equalWidth="0" w:num="1">
            <w:col w:w="10120"/>
          </w:cols>
          <w:pgMar w:left="1440" w:top="104" w:right="339" w:bottom="1440" w:gutter="0" w:footer="0" w:header="0"/>
        </w:sect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AMI Semiconductor Canada Company</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AMIS Foreign Holdings, Inc.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Aptina (Mauritius)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Aptina Holdings (Cayman) Inc.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Aptina Imaging Corporation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Aptina Pte.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Aptina, LLC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(Malaysia) Sdn. Bhd.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(Suzhou) Co.,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Corporation of California</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Hong Kong (Holdings)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International, LLC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Mauritius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Pte.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Technology (Beijing) Co.,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Technology (Shanghai) Co.,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Fairchild Semiconductor, LLC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GT Advanced Technologies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GTAT Corporation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GTAT Terra Inc.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Hudson Valley Research Park Sewage Works Corporation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Hudson Valley Research Park Water-Works Corp.</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Leshan-Phoenix Semiconductor Company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Assurance Corporation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Design Czech s.r.o.</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Electronics Private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Management, LLC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(Shenzhen)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(Thailand) Co.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Adria d.o.o.</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Aizu Co.,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Austria GmbH</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Benelux B.V.</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Canada Trading Corporation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Cebu Philippines, Inc.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Czech Republic s.r.o.</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France SAS</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Germany GmbH</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Ireland Research and Design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Japan Holdings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Japan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Kanto Co. Ltd.</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{Nova Scotia, 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{Mauritius}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 Islands}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{Mauritius}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{Slovenia}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{Nova Scotia, 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{Philippines}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ectPr>
          <w:pgSz w:w="11900" w:h="16838" w:orient="portrait"/>
          <w:cols w:equalWidth="0" w:num="2">
            <w:col w:w="4500" w:space="720"/>
            <w:col w:w="4900"/>
          </w:cols>
          <w:pgMar w:left="1440" w:top="104" w:right="339" w:bottom="1440" w:gutter="0" w:footer="0" w:header="0"/>
          <w:type w:val="continuous"/>
        </w:sectPr>
      </w:pPr>
    </w:p>
    <w:bookmarkStart w:id="121" w:name="page122"/>
    <w:bookmarkEnd w:id="121"/>
    <w:p>
      <w:pPr>
        <w:ind w:left="160"/>
        <w:spacing w:after="0"/>
        <w:rPr>
          <w:sz w:val="20"/>
          <w:szCs w:val="20"/>
          <w:color w:val="auto"/>
        </w:rPr>
      </w:pPr>
      <w:r>
        <w:rPr>
          <w:rFonts w:ascii="Times New Roman" w:cs="Times New Roman" w:eastAsia="Times New Roman" w:hAnsi="Times New Roman"/>
          <w:sz w:val="16"/>
          <w:szCs w:val="16"/>
          <w:color w:val="auto"/>
        </w:rPr>
        <w:t>ON Semiconductor Korea,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Leasing, LLC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Malaysia Sdn. Bhd.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Netherlands B.V.</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Niigata Co.,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Philippines, Inc.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Romania S.R.L.</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S.R.L.</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Shenzhen China (ONSC)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Slovakia, a.s.</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SSMP Philippines Corporation</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Technology B.V.</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Technology Hong Kong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Technology India Private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Technology Korea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Trading (Shanghai)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Trading Sàrl</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United Kingdom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 Semiconductor Vietnam Company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ONSEMI SPAIN, S.L.</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SCG Czech Design Center s.r.o.</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SCG Hong Kong SAR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SCG Korea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Semiconductor Components Industries Singapore Pte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Semiconductor Components Industries, LLC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SensL Technologies Limited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Sound Design Technologies Ltd.</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SWIR Vision Systems, Inc.</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TranSiC 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{South Korea}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{Philippines}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{Romania}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{Slovak Republic}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{Philippines}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Korea}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{Vietnam}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 China (PRC)}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Korea}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{Singapore}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{Ontario, 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{Sweden}</w:t>
      </w:r>
    </w:p>
    <w:p>
      <w:pPr>
        <w:spacing w:after="0" w:line="200" w:lineRule="exact"/>
        <w:rPr>
          <w:sz w:val="20"/>
          <w:szCs w:val="20"/>
          <w:color w:val="auto"/>
        </w:rPr>
      </w:pPr>
    </w:p>
    <w:p>
      <w:pPr>
        <w:sectPr>
          <w:pgSz w:w="11900" w:h="16838" w:orient="portrait"/>
          <w:cols w:equalWidth="0" w:num="2">
            <w:col w:w="4500" w:space="720"/>
            <w:col w:w="3799"/>
          </w:cols>
          <w:pgMar w:left="1440" w:top="1044" w:right="1440" w:bottom="1440" w:gutter="0" w:footer="0" w:header="0"/>
        </w:sectPr>
      </w:pPr>
    </w:p>
    <w:p>
      <w:pPr>
        <w:spacing w:after="0" w:line="1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 } Denotes jurisdiction.</w:t>
      </w:r>
    </w:p>
    <w:p>
      <w:pPr>
        <w:spacing w:after="0" w:line="32" w:lineRule="exact"/>
        <w:rPr>
          <w:sz w:val="20"/>
          <w:szCs w:val="20"/>
          <w:color w:val="auto"/>
        </w:rPr>
      </w:pPr>
    </w:p>
    <w:p>
      <w:pPr>
        <w:ind w:left="160" w:right="1559" w:firstLine="2"/>
        <w:spacing w:after="0" w:line="246" w:lineRule="auto"/>
        <w:tabs>
          <w:tab w:leader="none" w:pos="309" w:val="left"/>
        </w:tabs>
        <w:numPr>
          <w:ilvl w:val="0"/>
          <w:numId w:val="7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ON Semiconductor Corporation subsidiaries generally do business under the name “onsemi” or such other similar name as they transition to "onsemi.”</w:t>
      </w:r>
    </w:p>
    <w:p>
      <w:pPr>
        <w:sectPr>
          <w:pgSz w:w="11900" w:h="16838" w:orient="portrait"/>
          <w:cols w:equalWidth="0" w:num="1">
            <w:col w:w="9019"/>
          </w:cols>
          <w:pgMar w:left="1440" w:top="1044" w:right="1440" w:bottom="1440" w:gutter="0" w:footer="0" w:header="0"/>
          <w:type w:val="continuous"/>
        </w:sectPr>
      </w:pPr>
    </w:p>
    <w:bookmarkStart w:id="122" w:name="page123"/>
    <w:bookmarkEnd w:id="122"/>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333-219751, No. 333-219752, No. 333-206471, No.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333-190344, No. 333-183389, No. 333-166958, No. 333-159381, No. 333-118814, No. 333-71336, No. 333-258376 and No. 333-258377) of ON Semiconductor Corporation of our report dated February 10, 2025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3" w:lineRule="auto"/>
        <w:rPr>
          <w:sz w:val="20"/>
          <w:szCs w:val="20"/>
          <w:color w:val="auto"/>
        </w:rPr>
      </w:pPr>
      <w:r>
        <w:rPr>
          <w:rFonts w:ascii="Times New Roman" w:cs="Times New Roman" w:eastAsia="Times New Roman" w:hAnsi="Times New Roman"/>
          <w:sz w:val="18"/>
          <w:szCs w:val="18"/>
          <w:color w:val="auto"/>
        </w:rPr>
        <w:t>Phoenix, Arizona</w:t>
      </w:r>
    </w:p>
    <w:p>
      <w:pPr>
        <w:spacing w:after="0"/>
        <w:rPr>
          <w:sz w:val="20"/>
          <w:szCs w:val="20"/>
          <w:color w:val="auto"/>
        </w:rPr>
      </w:pPr>
      <w:r>
        <w:rPr>
          <w:rFonts w:ascii="Times New Roman" w:cs="Times New Roman" w:eastAsia="Times New Roman" w:hAnsi="Times New Roman"/>
          <w:sz w:val="18"/>
          <w:szCs w:val="18"/>
          <w:color w:val="auto"/>
        </w:rPr>
        <w:t>February 10,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1240"/>
          </w:cols>
          <w:pgMar w:left="320" w:top="104" w:right="339" w:bottom="1440" w:gutter="0" w:footer="0" w:header="0"/>
        </w:sectPr>
      </w:pPr>
    </w:p>
    <w:bookmarkStart w:id="123" w:name="page124"/>
    <w:bookmarkEnd w:id="123"/>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(Alan Campbell)</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2024,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20, 2025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ALAN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Alan Campbell</w:t>
      </w:r>
    </w:p>
    <w:p>
      <w:pPr>
        <w:sectPr>
          <w:pgSz w:w="11900" w:h="16838" w:orient="portrait"/>
          <w:cols w:equalWidth="0" w:num="1">
            <w:col w:w="11240"/>
          </w:cols>
          <w:pgMar w:left="320" w:top="117" w:right="339" w:bottom="1440" w:gutter="0" w:footer="0" w:header="0"/>
        </w:sectPr>
      </w:pPr>
    </w:p>
    <w:bookmarkStart w:id="124" w:name="page125"/>
    <w:bookmarkEnd w:id="124"/>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(Susan K. Carter)</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2024,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16,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K.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Susan K. Carter</w:t>
      </w:r>
    </w:p>
    <w:p>
      <w:pPr>
        <w:sectPr>
          <w:pgSz w:w="11900" w:h="16838" w:orient="portrait"/>
          <w:cols w:equalWidth="0" w:num="1">
            <w:col w:w="11240"/>
          </w:cols>
          <w:pgMar w:left="320" w:top="117" w:right="339" w:bottom="1440" w:gutter="0" w:footer="0" w:header="0"/>
        </w:sectPr>
      </w:pPr>
    </w:p>
    <w:bookmarkStart w:id="125" w:name="page126"/>
    <w:bookmarkEnd w:id="125"/>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L. Deitrich)</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2024,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19,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Thomas L. Deitrich</w:t>
      </w:r>
    </w:p>
    <w:p>
      <w:pPr>
        <w:sectPr>
          <w:pgSz w:w="11900" w:h="16838" w:orient="portrait"/>
          <w:cols w:equalWidth="0" w:num="1">
            <w:col w:w="11240"/>
          </w:cols>
          <w:pgMar w:left="320" w:top="117" w:right="339" w:bottom="1440" w:gutter="0" w:footer="0" w:header="0"/>
        </w:sectPr>
      </w:pPr>
    </w:p>
    <w:bookmarkStart w:id="126" w:name="page127"/>
    <w:bookmarkEnd w:id="126"/>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(Bruce E. Kiddoo)</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2024,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25,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BRUCE E. KIDDOO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Bruce E. Kiddoo</w:t>
      </w:r>
    </w:p>
    <w:p>
      <w:pPr>
        <w:sectPr>
          <w:pgSz w:w="11900" w:h="16838" w:orient="portrait"/>
          <w:cols w:equalWidth="0" w:num="1">
            <w:col w:w="11240"/>
          </w:cols>
          <w:pgMar w:left="320" w:top="117" w:right="339" w:bottom="1440" w:gutter="0" w:footer="0" w:header="0"/>
        </w:sectPr>
      </w:pPr>
    </w:p>
    <w:bookmarkStart w:id="127" w:name="page128"/>
    <w:bookmarkEnd w:id="127"/>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(Christina Lampe-Önnerud)</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2024,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29, 2025</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CHRISTINA LAMPE-ÖNNERUD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Christina Lampe-Önnerud</w:t>
      </w:r>
    </w:p>
    <w:p>
      <w:pPr>
        <w:sectPr>
          <w:pgSz w:w="11900" w:h="16838" w:orient="portrait"/>
          <w:cols w:equalWidth="0" w:num="1">
            <w:col w:w="11240"/>
          </w:cols>
          <w:pgMar w:left="320" w:top="117" w:right="339" w:bottom="1440" w:gutter="0" w:footer="0" w:header="0"/>
        </w:sectPr>
      </w:pPr>
    </w:p>
    <w:bookmarkStart w:id="128" w:name="page129"/>
    <w:bookmarkEnd w:id="128"/>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A. Mascarenas)</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2024,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19,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PAUL A. MASCARENAS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A. Mascarenas</w:t>
      </w:r>
    </w:p>
    <w:p>
      <w:pPr>
        <w:sectPr>
          <w:pgSz w:w="11900" w:h="16838" w:orient="portrait"/>
          <w:cols w:equalWidth="0" w:num="1">
            <w:col w:w="11240"/>
          </w:cols>
          <w:pgMar w:left="320" w:top="117" w:right="339" w:bottom="1440" w:gutter="0" w:footer="0" w:header="0"/>
        </w:sectPr>
      </w:pPr>
    </w:p>
    <w:bookmarkStart w:id="129" w:name="page130"/>
    <w:bookmarkEnd w:id="129"/>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(Gregory L. Waters)</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2024,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19,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GREGORY 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L. Waters</w:t>
      </w:r>
    </w:p>
    <w:p>
      <w:pPr>
        <w:sectPr>
          <w:pgSz w:w="11900" w:h="16838" w:orient="portrait"/>
          <w:cols w:equalWidth="0" w:num="1">
            <w:col w:w="11240"/>
          </w:cols>
          <w:pgMar w:left="320" w:top="117" w:right="339" w:bottom="1440" w:gutter="0" w:footer="0" w:header="0"/>
        </w:sectPr>
      </w:pPr>
    </w:p>
    <w:bookmarkStart w:id="130" w:name="page131"/>
    <w:bookmarkEnd w:id="130"/>
    <w:p>
      <w:pPr>
        <w:ind w:left="10320"/>
        <w:spacing w:after="0"/>
        <w:rPr>
          <w:sz w:val="20"/>
          <w:szCs w:val="20"/>
          <w:color w:val="auto"/>
        </w:rPr>
      </w:pPr>
      <w:r>
        <w:rPr>
          <w:rFonts w:ascii="Times New Roman" w:cs="Times New Roman" w:eastAsia="Times New Roman" w:hAnsi="Times New Roman"/>
          <w:sz w:val="17"/>
          <w:szCs w:val="17"/>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(Christine Y. Yan)</w:t>
      </w:r>
    </w:p>
    <w:p>
      <w:pPr>
        <w:spacing w:after="0" w:line="234"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 hereby appoint Thad Trent and Paul Dutton, and each of them, my attorneys-in-fact, each with full power of substitution, to sign for me as a Director of ON Semiconductor Corporation (the “Corporation”) and file with the Securities and Exchange Commission the Corporation’s Annual Report on Form 10-K for the year ended December 31, 2024, and any amendments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16,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CHRISTINE Y. 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8460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Christine Y. Yan</w:t>
      </w:r>
    </w:p>
    <w:p>
      <w:pPr>
        <w:sectPr>
          <w:pgSz w:w="11900" w:h="16838" w:orient="portrait"/>
          <w:cols w:equalWidth="0" w:num="1">
            <w:col w:w="11240"/>
          </w:cols>
          <w:pgMar w:left="320" w:top="117"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 Hassane El-Khoury, certify that:</w:t>
      </w:r>
    </w:p>
    <w:p>
      <w:pPr>
        <w:spacing w:after="0" w:line="252" w:lineRule="exact"/>
        <w:rPr>
          <w:sz w:val="20"/>
          <w:szCs w:val="20"/>
          <w:color w:val="auto"/>
        </w:rPr>
      </w:pPr>
    </w:p>
    <w:p>
      <w:pPr>
        <w:ind w:left="800" w:hanging="326"/>
        <w:spacing w:after="0"/>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ON Semiconductor Corporation;</w:t>
      </w:r>
    </w:p>
    <w:p>
      <w:pPr>
        <w:spacing w:after="0" w:line="252" w:lineRule="exact"/>
        <w:rPr>
          <w:rFonts w:ascii="Times New Roman" w:cs="Times New Roman" w:eastAsia="Times New Roman" w:hAnsi="Times New Roman"/>
          <w:sz w:val="18"/>
          <w:szCs w:val="18"/>
          <w:color w:val="auto"/>
        </w:rPr>
      </w:pPr>
    </w:p>
    <w:p>
      <w:pPr>
        <w:jc w:val="both"/>
        <w:ind w:left="800" w:hanging="326"/>
        <w:spacing w:after="0" w:line="266" w:lineRule="auto"/>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800" w:hanging="326"/>
        <w:spacing w:after="0" w:line="282" w:lineRule="auto"/>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800" w:hanging="326"/>
        <w:spacing w:after="0" w:line="261" w:lineRule="auto"/>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280" w:hanging="320"/>
        <w:spacing w:after="0" w:line="266" w:lineRule="auto"/>
        <w:tabs>
          <w:tab w:leader="none" w:pos="127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280" w:hanging="320"/>
        <w:spacing w:after="0" w:line="266" w:lineRule="auto"/>
        <w:tabs>
          <w:tab w:leader="none" w:pos="126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280" w:hanging="320"/>
        <w:spacing w:after="0" w:line="282" w:lineRule="auto"/>
        <w:tabs>
          <w:tab w:leader="none" w:pos="127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280" w:hanging="320"/>
        <w:spacing w:after="0" w:line="266" w:lineRule="auto"/>
        <w:tabs>
          <w:tab w:leader="none" w:pos="126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800" w:hanging="326"/>
        <w:spacing w:after="0" w:line="282" w:lineRule="auto"/>
        <w:tabs>
          <w:tab w:leader="none" w:pos="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280" w:hanging="320"/>
        <w:spacing w:after="0" w:line="282" w:lineRule="auto"/>
        <w:tabs>
          <w:tab w:leader="none" w:pos="127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280" w:hanging="320"/>
        <w:spacing w:after="0" w:line="282" w:lineRule="auto"/>
        <w:tabs>
          <w:tab w:leader="none" w:pos="126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spacing w:after="0"/>
        <w:tabs>
          <w:tab w:leader="none" w:pos="7400" w:val="left"/>
        </w:tabs>
        <w:rPr>
          <w:sz w:val="20"/>
          <w:szCs w:val="20"/>
          <w:color w:val="auto"/>
        </w:rPr>
      </w:pPr>
      <w:r>
        <w:rPr>
          <w:rFonts w:ascii="Times New Roman" w:cs="Times New Roman" w:eastAsia="Times New Roman" w:hAnsi="Times New Roman"/>
          <w:sz w:val="18"/>
          <w:szCs w:val="18"/>
          <w:color w:val="auto"/>
        </w:rPr>
        <w:t>Date: February 10, 2025</w:t>
      </w:r>
      <w:r>
        <w:rPr>
          <w:sz w:val="20"/>
          <w:szCs w:val="20"/>
          <w:color w:val="auto"/>
        </w:rPr>
        <w:tab/>
      </w:r>
      <w:r>
        <w:rPr>
          <w:rFonts w:ascii="Times New Roman" w:cs="Times New Roman" w:eastAsia="Times New Roman" w:hAnsi="Times New Roman"/>
          <w:sz w:val="17"/>
          <w:szCs w:val="17"/>
          <w:color w:val="auto"/>
        </w:rPr>
        <w:t>/s/ HASSANE EL-KHOURY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43180</wp:posOffset>
            </wp:positionV>
            <wp:extent cx="24174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70"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Hassane El-Khoury</w:t>
      </w:r>
    </w:p>
    <w:p>
      <w:pPr>
        <w:spacing w:after="0" w:line="7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20"/>
          </w:cols>
          <w:pgMar w:left="340" w:top="114"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 Thad Trent, certify that:</w:t>
      </w:r>
    </w:p>
    <w:p>
      <w:pPr>
        <w:spacing w:after="0" w:line="252" w:lineRule="exact"/>
        <w:rPr>
          <w:sz w:val="20"/>
          <w:szCs w:val="20"/>
          <w:color w:val="auto"/>
        </w:rPr>
      </w:pPr>
    </w:p>
    <w:p>
      <w:pPr>
        <w:ind w:left="800" w:hanging="326"/>
        <w:spacing w:after="0"/>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ON Semiconductor Corporation;</w:t>
      </w:r>
    </w:p>
    <w:p>
      <w:pPr>
        <w:spacing w:after="0" w:line="252" w:lineRule="exact"/>
        <w:rPr>
          <w:rFonts w:ascii="Times New Roman" w:cs="Times New Roman" w:eastAsia="Times New Roman" w:hAnsi="Times New Roman"/>
          <w:sz w:val="18"/>
          <w:szCs w:val="18"/>
          <w:color w:val="auto"/>
        </w:rPr>
      </w:pPr>
    </w:p>
    <w:p>
      <w:pPr>
        <w:jc w:val="both"/>
        <w:ind w:left="800" w:hanging="326"/>
        <w:spacing w:after="0" w:line="266" w:lineRule="auto"/>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800" w:hanging="326"/>
        <w:spacing w:after="0" w:line="282" w:lineRule="auto"/>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800" w:hanging="326"/>
        <w:spacing w:after="0" w:line="261" w:lineRule="auto"/>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440" w:hanging="318"/>
        <w:spacing w:after="0" w:line="266" w:lineRule="auto"/>
        <w:tabs>
          <w:tab w:leader="none" w:pos="14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40" w:hanging="318"/>
        <w:spacing w:after="0" w:line="266" w:lineRule="auto"/>
        <w:tabs>
          <w:tab w:leader="none" w:pos="142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40" w:hanging="318"/>
        <w:spacing w:after="0" w:line="282" w:lineRule="auto"/>
        <w:tabs>
          <w:tab w:leader="none" w:pos="14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40" w:hanging="318"/>
        <w:spacing w:after="0" w:line="266" w:lineRule="auto"/>
        <w:tabs>
          <w:tab w:leader="none" w:pos="142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800" w:hanging="326"/>
        <w:spacing w:after="0" w:line="282" w:lineRule="auto"/>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440" w:hanging="318"/>
        <w:spacing w:after="0" w:line="282" w:lineRule="auto"/>
        <w:tabs>
          <w:tab w:leader="none" w:pos="14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40" w:hanging="318"/>
        <w:spacing w:after="0" w:line="282" w:lineRule="auto"/>
        <w:tabs>
          <w:tab w:leader="none" w:pos="142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color w:val="auto"/>
        </w:rPr>
        <w:t>Date: February 10, 2025</w:t>
      </w:r>
      <w:r>
        <w:rPr>
          <w:sz w:val="20"/>
          <w:szCs w:val="20"/>
          <w:color w:val="auto"/>
        </w:rPr>
        <w:tab/>
      </w:r>
      <w:r>
        <w:rPr>
          <w:rFonts w:ascii="Times New Roman" w:cs="Times New Roman" w:eastAsia="Times New Roman" w:hAnsi="Times New Roman"/>
          <w:sz w:val="17"/>
          <w:szCs w:val="17"/>
          <w:color w:val="auto"/>
        </w:rPr>
        <w:t>/s/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43180</wp:posOffset>
            </wp:positionV>
            <wp:extent cx="28886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Thad Trent</w:t>
      </w:r>
    </w:p>
    <w:p>
      <w:pPr>
        <w:spacing w:after="0" w:line="7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40" w:top="114"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18 U.S.C. Section 1350, as adopted pursuant to Section 906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purposes of Section 1350 of Chapter 63 of Title 18 of the United States Code, as adopted pursuant to Section 906 of the Sarbanes-Oxley Act of 2002, each of the undersigned officers of ON Semiconductor Corporation, a Delaware corporation (the “Company”), does hereby certify, to such officer’s knowledge, that:</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Annual Report on Form 10-K for the fiscal year ended December 31, 2024 (the “Form 10-K”) of the Company fully complies with the requirements of Section 13(a) or 15(d) of the Securities Exchange Act of 1934 (15 U.S.C. 78m or 78o(d)) and information contained in the Form 10-K fairly presents, in all material respects, the financial condition and results of operations of the Company.</w:t>
      </w:r>
    </w:p>
    <w:p>
      <w:pPr>
        <w:spacing w:after="0" w:line="249"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20"/>
          <w:szCs w:val="20"/>
          <w:color w:val="auto"/>
        </w:rPr>
        <w:t>Date: February 10, 2025</w:t>
      </w:r>
      <w:r>
        <w:rPr>
          <w:sz w:val="20"/>
          <w:szCs w:val="20"/>
          <w:color w:val="auto"/>
        </w:rPr>
        <w:tab/>
      </w:r>
      <w:r>
        <w:rPr>
          <w:rFonts w:ascii="Times New Roman" w:cs="Times New Roman" w:eastAsia="Times New Roman" w:hAnsi="Times New Roman"/>
          <w:sz w:val="19"/>
          <w:szCs w:val="19"/>
          <w:color w:val="auto"/>
        </w:rPr>
        <w:t>/s/ HASSANE EL-KHOURY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40005</wp:posOffset>
            </wp:positionV>
            <wp:extent cx="35572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Hassane El-Khoury</w:t>
      </w:r>
    </w:p>
    <w:p>
      <w:pPr>
        <w:spacing w:after="0" w:line="6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400" w:val="left"/>
        </w:tabs>
        <w:rPr>
          <w:sz w:val="20"/>
          <w:szCs w:val="20"/>
          <w:color w:val="auto"/>
        </w:rPr>
      </w:pPr>
      <w:r>
        <w:rPr>
          <w:rFonts w:ascii="Times New Roman" w:cs="Times New Roman" w:eastAsia="Times New Roman" w:hAnsi="Times New Roman"/>
          <w:sz w:val="20"/>
          <w:szCs w:val="20"/>
          <w:color w:val="auto"/>
        </w:rPr>
        <w:t>Date: February 10, 2025</w:t>
      </w:r>
      <w:r>
        <w:rPr>
          <w:sz w:val="20"/>
          <w:szCs w:val="20"/>
          <w:color w:val="auto"/>
        </w:rPr>
        <w:tab/>
      </w:r>
      <w:r>
        <w:rPr>
          <w:rFonts w:ascii="Times New Roman" w:cs="Times New Roman" w:eastAsia="Times New Roman" w:hAnsi="Times New Roman"/>
          <w:sz w:val="19"/>
          <w:szCs w:val="19"/>
          <w:color w:val="auto"/>
        </w:rPr>
        <w:t>/s/ THAD TRENT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31115</wp:posOffset>
            </wp:positionV>
            <wp:extent cx="35572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6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Thad Trent</w:t>
      </w:r>
    </w:p>
    <w:p>
      <w:pPr>
        <w:spacing w:after="0" w:line="6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Executive Vice President,</w:t>
      </w:r>
    </w:p>
    <w:p>
      <w:pPr>
        <w:spacing w:after="0" w:line="6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color w:val="auto"/>
        </w:rPr>
        <w:t>Chief Financial Officer and Treasurer</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lvl w:ilvl="1">
      <w:lvlJc w:val="left"/>
      <w:lvlText w:val="◦"/>
      <w:numFmt w:val="bullet"/>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1)"/>
      <w:numFmt w:val="lowerLetter"/>
      <w:start w:val="1"/>
    </w:lvl>
  </w:abstractNum>
  <w:abstractNum w:abstractNumId="19">
    <w:nsid w:val="542289EC"/>
    <w:multiLevelType w:val="hybridMultilevel"/>
    <w:lvl w:ilvl="0">
      <w:lvlJc w:val="left"/>
      <w:lvlText w:val="(%1)"/>
      <w:numFmt w:val="decimal"/>
      <w:start w:val="2"/>
    </w:lvl>
  </w:abstractNum>
  <w:abstractNum w:abstractNumId="20">
    <w:nsid w:val="6DE91B18"/>
    <w:multiLevelType w:val="hybridMultilevel"/>
    <w:lvl w:ilvl="0">
      <w:lvlJc w:val="left"/>
      <w:lvlText w:val="(%1)"/>
      <w:numFmt w:val="decimal"/>
      <w:start w:val="3"/>
    </w:lvl>
  </w:abstractNum>
  <w:abstractNum w:abstractNumId="21">
    <w:nsid w:val="38437FDB"/>
    <w:multiLevelType w:val="hybridMultilevel"/>
    <w:lvl w:ilvl="0">
      <w:lvlJc w:val="left"/>
      <w:lvlText w:val="%1"/>
      <w:numFmt w:val="decimal"/>
      <w:start w:val="32"/>
    </w:lvl>
  </w:abstractNum>
  <w:abstractNum w:abstractNumId="22">
    <w:nsid w:val="7644A45C"/>
    <w:multiLevelType w:val="hybridMultilevel"/>
    <w:lvl w:ilvl="0">
      <w:lvlJc w:val="left"/>
      <w:lvlText w:val="%1"/>
      <w:numFmt w:val="decimal"/>
      <w:start w:val="97"/>
    </w:lvl>
  </w:abstractNum>
  <w:abstractNum w:abstractNumId="23">
    <w:nsid w:val="32FFF902"/>
    <w:multiLevelType w:val="hybridMultilevel"/>
    <w:lvl w:ilvl="0">
      <w:lvlJc w:val="left"/>
      <w:lvlText w:val="%1"/>
      <w:numFmt w:val="decimal"/>
      <w:start w:val="104"/>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3"/>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2"/>
    </w:lvl>
  </w:abstractNum>
  <w:abstractNum w:abstractNumId="53">
    <w:nsid w:val="579BE4F1"/>
    <w:multiLevelType w:val="hybridMultilevel"/>
    <w:lvl w:ilvl="0">
      <w:lvlJc w:val="left"/>
      <w:lvlText w:val="%1."/>
      <w:numFmt w:val="decimal"/>
      <w:start w:val="6"/>
    </w:lvl>
  </w:abstractNum>
  <w:abstractNum w:abstractNumId="54">
    <w:nsid w:val="310C50B3"/>
    <w:multiLevelType w:val="hybridMultilevel"/>
    <w:lvl w:ilvl="0">
      <w:lvlJc w:val="left"/>
      <w:lvlText w:val="%1."/>
      <w:numFmt w:val="decimal"/>
      <w:start w:val="10"/>
    </w:lvl>
  </w:abstractNum>
  <w:abstractNum w:abstractNumId="55">
    <w:nsid w:val="5FF87E05"/>
    <w:multiLevelType w:val="hybridMultilevel"/>
    <w:lvl w:ilvl="0">
      <w:lvlJc w:val="left"/>
      <w:lvlText w:val="%1."/>
      <w:numFmt w:val="decimal"/>
      <w:start w:val="11"/>
    </w:lvl>
  </w:abstractNum>
  <w:abstractNum w:abstractNumId="56">
    <w:nsid w:val="2F305DEF"/>
    <w:multiLevelType w:val="hybridMultilevel"/>
    <w:lvl w:ilvl="0">
      <w:lvlJc w:val="left"/>
      <w:lvlText w:val="%1."/>
      <w:numFmt w:val="decimal"/>
      <w:start w:val="19"/>
    </w:lvl>
  </w:abstractNum>
  <w:abstractNum w:abstractNumId="57">
    <w:nsid w:val="25A70BF7"/>
    <w:multiLevelType w:val="hybridMultilevel"/>
    <w:lvl w:ilvl="0">
      <w:lvlJc w:val="left"/>
      <w:lvlText w:val="(%1)"/>
      <w:numFmt w:val="decimal"/>
      <w:start w:val="1"/>
    </w:lvl>
    <w:lvl w:ilvl="1">
      <w:lvlJc w:val="left"/>
      <w:lvlText w:val="(%2)"/>
      <w:numFmt w:val="lowerLetter"/>
      <w:start w:val="1"/>
    </w:lvl>
  </w:abstractNum>
  <w:abstractNum w:abstractNumId="58">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59">
    <w:nsid w:val="4AD084E9"/>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lvl w:ilvl="1">
      <w:lvlJc w:val="left"/>
      <w:lvlText w:val="o"/>
      <w:numFmt w:val="bullet"/>
      <w:start w:val="1"/>
    </w:lvl>
  </w:abstractNum>
  <w:abstractNum w:abstractNumId="62">
    <w:nsid w:val="5DB70AE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3">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
    <w:nsid w:val="6590700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decimal"/>
      <w:start w:val="3"/>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o"/>
      <w:numFmt w:val="bullet"/>
      <w:start w:val="1"/>
    </w:lvl>
  </w:abstractNum>
  <w:abstractNum w:abstractNumId="69">
    <w:nsid w:val="6B94764"/>
    <w:multiLevelType w:val="hybridMultilevel"/>
    <w:lvl w:ilvl="0">
      <w:lvlJc w:val="left"/>
      <w:lvlText w:val="•"/>
      <w:numFmt w:val="bullet"/>
      <w:start w:val="1"/>
    </w:lvl>
    <w:lvl w:ilvl="1">
      <w:lvlJc w:val="left"/>
      <w:lvlText w:val="o"/>
      <w:numFmt w:val="bullet"/>
      <w:start w:val="1"/>
    </w:lvl>
  </w:abstractNum>
  <w:abstractNum w:abstractNumId="70">
    <w:nsid w:val="42C296BD"/>
    <w:multiLevelType w:val="hybridMultilevel"/>
    <w:lvl w:ilvl="0">
      <w:lvlJc w:val="left"/>
      <w:lvlText w:val="(%1)"/>
      <w:numFmt w:val="decimal"/>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6" Type="http://schemas.openxmlformats.org/officeDocument/2006/relationships/image" Target="media/image54.png"/><Relationship Id="rId94" Type="http://schemas.openxmlformats.org/officeDocument/2006/relationships/image" Target="media/image55.png"/><Relationship Id="rId95" Type="http://schemas.openxmlformats.org/officeDocument/2006/relationships/image" Target="media/image56.png"/><Relationship Id="rId103" Type="http://schemas.openxmlformats.org/officeDocument/2006/relationships/image" Target="media/image57.png"/><Relationship Id="rId104" Type="http://schemas.openxmlformats.org/officeDocument/2006/relationships/image" Target="media/image58.png"/><Relationship Id="rId105" Type="http://schemas.openxmlformats.org/officeDocument/2006/relationships/image" Target="media/image59.png"/><Relationship Id="rId106" Type="http://schemas.openxmlformats.org/officeDocument/2006/relationships/image" Target="media/image60.png"/><Relationship Id="rId107" Type="http://schemas.openxmlformats.org/officeDocument/2006/relationships/image" Target="media/image61.png"/><Relationship Id="rId108" Type="http://schemas.openxmlformats.org/officeDocument/2006/relationships/image" Target="media/image62.png"/><Relationship Id="rId109" Type="http://schemas.openxmlformats.org/officeDocument/2006/relationships/image" Target="media/image63.png"/><Relationship Id="rId110" Type="http://schemas.openxmlformats.org/officeDocument/2006/relationships/image" Target="media/image64.png"/><Relationship Id="rId111" Type="http://schemas.openxmlformats.org/officeDocument/2006/relationships/image" Target="media/image65.png"/><Relationship Id="rId112" Type="http://schemas.openxmlformats.org/officeDocument/2006/relationships/image" Target="media/image66.png"/><Relationship Id="rId113" Type="http://schemas.openxmlformats.org/officeDocument/2006/relationships/image" Target="media/image67.png"/><Relationship Id="rId114" Type="http://schemas.openxmlformats.org/officeDocument/2006/relationships/image" Target="media/image68.png"/><Relationship Id="rId115" Type="http://schemas.openxmlformats.org/officeDocument/2006/relationships/image" Target="media/image69.png"/><Relationship Id="rId116" Type="http://schemas.openxmlformats.org/officeDocument/2006/relationships/image" Target="media/image70.png"/><Relationship Id="rId117" Type="http://schemas.openxmlformats.org/officeDocument/2006/relationships/image" Target="media/image71.png"/><Relationship Id="rId118" Type="http://schemas.openxmlformats.org/officeDocument/2006/relationships/image" Target="media/image72.png"/><Relationship Id="rId119" Type="http://schemas.openxmlformats.org/officeDocument/2006/relationships/image" Target="media/image73.png"/><Relationship Id="rId120" Type="http://schemas.openxmlformats.org/officeDocument/2006/relationships/image" Target="media/image74.png"/><Relationship Id="rId121" Type="http://schemas.openxmlformats.org/officeDocument/2006/relationships/image" Target="media/image75.png"/><Relationship Id="rId122" Type="http://schemas.openxmlformats.org/officeDocument/2006/relationships/image" Target="media/image76.png"/><Relationship Id="rId123" Type="http://schemas.openxmlformats.org/officeDocument/2006/relationships/image" Target="media/image77.png"/><Relationship Id="rId124" Type="http://schemas.openxmlformats.org/officeDocument/2006/relationships/image" Target="media/image78.png"/><Relationship Id="rId125" Type="http://schemas.openxmlformats.org/officeDocument/2006/relationships/image" Target="media/image79.png"/><Relationship Id="rId126"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134" Type="http://schemas.openxmlformats.org/officeDocument/2006/relationships/image" Target="media/image88.png"/><Relationship Id="rId135"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144"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jpe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jpe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61" Type="http://schemas.openxmlformats.org/officeDocument/2006/relationships/hyperlink" Target="https://www.sec.gov/Archives/edgar/data/1097864/000119312524273895/d904673dex21.htm" TargetMode="External"/><Relationship Id="rId62" Type="http://schemas.openxmlformats.org/officeDocument/2006/relationships/hyperlink" Target="https://www.sec.gov/Archives/edgar/data/1097864/000119312508104433/dex31.htm" TargetMode="External"/><Relationship Id="rId63" Type="http://schemas.openxmlformats.org/officeDocument/2006/relationships/hyperlink" Target="https://www.sec.gov/Archives/edgar/data/1097864/000119312514223896/d738311dex31.htm" TargetMode="External"/><Relationship Id="rId64" Type="http://schemas.openxmlformats.org/officeDocument/2006/relationships/hyperlink" Target="https://www.sec.gov/Archives/edgar/data/1097864/000119312517249592/d428805dex31.htm" TargetMode="External"/><Relationship Id="rId65" Type="http://schemas.openxmlformats.org/officeDocument/2006/relationships/hyperlink" Target="https://www.sec.gov/Archives/edgar/data/1097864/000119312522230021/d390073dex31.htm" TargetMode="External"/><Relationship Id="rId66" Type="http://schemas.openxmlformats.org/officeDocument/2006/relationships/hyperlink" Target="https://www.sec.gov/Archives/edgar/data/1097864/000119312504038086/dex41.htm" TargetMode="External"/><Relationship Id="rId67" Type="http://schemas.openxmlformats.org/officeDocument/2006/relationships/hyperlink" Target="https://www.sec.gov/Archives/edgar/data/1097864/000119312520227087/d26820dex41.htm" TargetMode="External"/><Relationship Id="rId68" Type="http://schemas.openxmlformats.org/officeDocument/2006/relationships/hyperlink" Target="https://www.sec.gov/Archives/edgar/data/0001097864/000119312521166754/d178031dex41.htm" TargetMode="External"/><Relationship Id="rId69" Type="http://schemas.openxmlformats.org/officeDocument/2006/relationships/hyperlink" Target="https://www.sec.gov/Archives/edgar/data/1097864/000119312523056593/d382064dex41.htm" TargetMode="External"/><Relationship Id="rId70" Type="http://schemas.openxmlformats.org/officeDocument/2006/relationships/hyperlink" Target="https://www.sec.gov/Archives/edgar/data/1097864/000162828023002350/exhibit45descriptionofsecu.htm" TargetMode="External"/><Relationship Id="rId71" Type="http://schemas.openxmlformats.org/officeDocument/2006/relationships/hyperlink" Target="https://www.sec.gov/Archives/edgar/data/1097864/000119312506155889/dex103.htm" TargetMode="External"/><Relationship Id="rId72" Type="http://schemas.openxmlformats.org/officeDocument/2006/relationships/hyperlink" Target="https://www.sec.gov/Archives/edgar/data/1097864/000119312515069358/d875301dex105b.htm" TargetMode="External"/><Relationship Id="rId73" Type="http://schemas.openxmlformats.org/officeDocument/2006/relationships/hyperlink" Target="https://www.sec.gov/Archives/edgar/data/1097864/000162828022002416/exhibit106aformofbondhedge.htm" TargetMode="External"/><Relationship Id="rId74" Type="http://schemas.openxmlformats.org/officeDocument/2006/relationships/hyperlink" Target="https://www.sec.gov/Archives/edgar/data/1097864/000162828022002416/exhibit106bformofwarrantco.htm" TargetMode="External"/><Relationship Id="rId75" Type="http://schemas.openxmlformats.org/officeDocument/2006/relationships/hyperlink" Target="https://www.sec.gov/Archives/edgar/data/1097864/000162828022002416/exhibit107a-amendedandrest.htm" TargetMode="External"/><Relationship Id="rId77" Type="http://schemas.openxmlformats.org/officeDocument/2006/relationships/hyperlink" Target="https://www.sec.gov/Archives/edgar/data/0001097864/000162828021008547/exhibit1042021formofonrsua.htm" TargetMode="External"/><Relationship Id="rId78" Type="http://schemas.openxmlformats.org/officeDocument/2006/relationships/hyperlink" Target="https://www.sec.gov/Archives/edgar/data/0001097864/000162828021008547/exhibit103thadtrentpbrsuaw.htm" TargetMode="External"/><Relationship Id="rId79" Type="http://schemas.openxmlformats.org/officeDocument/2006/relationships/hyperlink" Target="https://www.sec.gov/Archives/edgar/data/1097864/000162828022011616/exhibit1012022formrsuaward.htm" TargetMode="External"/><Relationship Id="rId80" Type="http://schemas.openxmlformats.org/officeDocument/2006/relationships/hyperlink" Target="https://www.sec.gov/Archives/edgar/data/1097864/000162828022011616/exhibit102formofannualpbrs.htm" TargetMode="External"/><Relationship Id="rId81" Type="http://schemas.openxmlformats.org/officeDocument/2006/relationships/hyperlink" Target="https://www.sec.gov/Archives/edgar/data/1097864/000162828023014387/exhibit103-formofpbrsuagre.htm" TargetMode="External"/><Relationship Id="rId82" Type="http://schemas.openxmlformats.org/officeDocument/2006/relationships/hyperlink" Target="https://www.sec.gov/Archives/edgar/data/0001097864/000162828021008547/exhibit102thadtrentrsuawar.htm" TargetMode="External"/><Relationship Id="rId83" Type="http://schemas.openxmlformats.org/officeDocument/2006/relationships/hyperlink" Target="https://www.sec.gov/Archives/edgar/data/1097864/000162828022019900/exhibit101-2022rsaagreemen.htm" TargetMode="External"/><Relationship Id="rId84" Type="http://schemas.openxmlformats.org/officeDocument/2006/relationships/hyperlink" Target="https://www.sec.gov/Archives/edgar/data/1097864/000162828024043880/exhibit101-amendedandresta.htm" TargetMode="External"/><Relationship Id="rId85" Type="http://schemas.openxmlformats.org/officeDocument/2006/relationships/hyperlink" Target="https://www.sec.gov/Archives/edgar/data/0001097864/000162828021002219/exhibit1016el-khouryemploy.htm" TargetMode="External"/><Relationship Id="rId86" Type="http://schemas.openxmlformats.org/officeDocument/2006/relationships/hyperlink" Target="https://www.sec.gov/Archives/edgar/data/0001097864/000162828021008547/exhibit101thadtrentemploym.htm" TargetMode="External"/><Relationship Id="rId87" Type="http://schemas.openxmlformats.org/officeDocument/2006/relationships/hyperlink" Target="https://www.sec.gov/Archives/edgar/data/1097864/000119312524057909/d798599dex101.htm" TargetMode="External"/><Relationship Id="rId88" Type="http://schemas.openxmlformats.org/officeDocument/2006/relationships/hyperlink" Target="https://www.sec.gov/Archives/edgar/data/1097864/000162828024003201/exhibit1014formofnewemploy.htm" TargetMode="External"/><Relationship Id="rId89" Type="http://schemas.openxmlformats.org/officeDocument/2006/relationships/hyperlink" Target="https://www.sec.gov/Archives/edgar/data/1097864/000119312516478268/d77585dex101.htm" TargetMode="External"/><Relationship Id="rId90" Type="http://schemas.openxmlformats.org/officeDocument/2006/relationships/hyperlink" Target="https://www.sec.gov/Archives/edgar/data/1097864/000119312524145010/d103644dex101.htm" TargetMode="External"/><Relationship Id="rId91" Type="http://schemas.openxmlformats.org/officeDocument/2006/relationships/hyperlink" Target="https://www.sec.gov/Archives/edgar/data/1097864/000162828024033229/exhibit102-nonxemployeedir.htm" TargetMode="External"/><Relationship Id="rId92" Type="http://schemas.openxmlformats.org/officeDocument/2006/relationships/hyperlink" Target="https://www.sec.gov/Archives/edgar/data/1097864/000119312520041751/d864442dex1020.htm" TargetMode="External"/><Relationship Id="rId93" Type="http://schemas.openxmlformats.org/officeDocument/2006/relationships/hyperlink" Target="https://www.sec.gov/Archives/edgar/data/0001097864/000119312521166754/d178031dex101.htm" TargetMode="External"/><Relationship Id="rId96" Type="http://schemas.openxmlformats.org/officeDocument/2006/relationships/hyperlink" Target="https://www.sec.gov/Archives/edgar/data/0001097864/000119312521166754/d178031dex102.htm" TargetMode="External"/><Relationship Id="rId97" Type="http://schemas.openxmlformats.org/officeDocument/2006/relationships/hyperlink" Target="https://www.sec.gov/Archives/edgar/data/1097864/000119312523057348/d453477dex101.htm" TargetMode="External"/><Relationship Id="rId98" Type="http://schemas.openxmlformats.org/officeDocument/2006/relationships/hyperlink" Target="https://www.sec.gov/Archives/edgar/data/1097864/000119312523057348/d453477dex102.htm" TargetMode="External"/><Relationship Id="rId99" Type="http://schemas.openxmlformats.org/officeDocument/2006/relationships/hyperlink" Target="https://www.sec.gov/Archives/edgar/data/1097864/000119312523174498/d476071dex101.htm" TargetMode="External"/><Relationship Id="rId100" Type="http://schemas.openxmlformats.org/officeDocument/2006/relationships/hyperlink" Target="https://www.sec.gov/Archives/edgar/data/1097864/000119312523174498/d476071dex102.htm" TargetMode="External"/><Relationship Id="rId101" Type="http://schemas.openxmlformats.org/officeDocument/2006/relationships/hyperlink" Target="https://www.sec.gov/Archives/edgar/data/1097864/000119312523174498/d476071dex103.htm" TargetMode="External"/><Relationship Id="rId102" Type="http://schemas.openxmlformats.org/officeDocument/2006/relationships/hyperlink" Target="https://www.sec.gov/Archives/edgar/data/1097864/000162828024003201/exhibit97doddfrankclawba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2025-02-10T10:58:20Z</dcterms:created>
  <dcterms:modified xsi:type="dcterms:W3CDTF">2025-02-10T10:58:20Z</dcterms:modified>
</cp:coreProperties>
</file>