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sz w:val="20"/>
        </w:rPr>
      </w:pPr>
      <w:r>
        <w:rPr>
          <w:sz w:val="20"/>
        </w:rPr>
      </w:r>
    </w:p>
    <w:tbl>
      <w:tblPr>
        <w:tblW w:w="5425" w:type="dxa"/>
        <w:jc w:val="left"/>
        <w:tblInd w:w="0" w:type="dxa"/>
        <w:tblLayout w:type="fixed"/>
        <w:tblCellMar>
          <w:top w:w="0" w:type="dxa"/>
          <w:left w:w="0" w:type="dxa"/>
          <w:bottom w:w="0" w:type="dxa"/>
          <w:right w:w="0" w:type="dxa"/>
        </w:tblCellMar>
      </w:tblPr>
      <w:tblGrid>
        <w:gridCol w:w="3995"/>
        <w:gridCol w:w="60"/>
        <w:gridCol w:w="1370"/>
      </w:tblGrid>
      <w:tr>
        <w:trPr/>
        <w:tc>
          <w:tcPr>
            <w:tcW w:w="399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Date of Report (Date of Earliest Event Reported):</w:t>
            </w:r>
          </w:p>
        </w:tc>
        <w:tc>
          <w:tcPr>
            <w:tcW w:w="60" w:type="dxa"/>
            <w:tcBorders/>
            <w:vAlign w:val="center"/>
          </w:tcPr>
          <w:p>
            <w:pPr>
              <w:pStyle w:val="TableContents"/>
              <w:bidi w:val="0"/>
              <w:spacing w:before="0" w:after="0"/>
              <w:jc w:val="left"/>
              <w:rPr>
                <w:color w:val="000000"/>
              </w:rPr>
            </w:pPr>
            <w:r>
              <w:rPr>
                <w:color w:val="000000"/>
              </w:rPr>
              <w:t> </w:t>
            </w:r>
          </w:p>
        </w:tc>
        <w:tc>
          <w:tcPr>
            <w:tcW w:w="1370" w:type="dxa"/>
            <w:tcBorders/>
            <w:vAlign w:val="center"/>
          </w:tcPr>
          <w:p>
            <w:pPr>
              <w:pStyle w:val="TableContents"/>
              <w:bidi w:val="0"/>
              <w:spacing w:before="0" w:after="283"/>
              <w:jc w:val="left"/>
              <w:rPr>
                <w:sz w:val="20"/>
              </w:rPr>
            </w:pPr>
            <w:r>
              <w:rPr>
                <w:sz w:val="20"/>
              </w:rPr>
              <w:t>August 12, 2026</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ON Semiconductor Corporation</w:t>
      </w:r>
    </w:p>
    <w:p>
      <w:pPr>
        <w:pStyle w:val="TextBody"/>
        <w:bidi w:val="0"/>
        <w:spacing w:before="0" w:after="0"/>
        <w:jc w:val="center"/>
        <w:rPr>
          <w:rFonts w:ascii="Times New Roman" w:hAnsi="Times New Roman"/>
          <w:color w:val="000000"/>
          <w:sz w:val="18"/>
          <w:shd w:fill="FFFFFF" w:val="clear"/>
        </w:rPr>
      </w:pPr>
      <w:r>
        <w:rPr>
          <w:rFonts w:ascii="Times New Roman" w:hAnsi="Times New Roman"/>
          <w:color w:val="000000"/>
          <w:sz w:val="18"/>
          <w:shd w:fill="FFFFFF" w:val="clear"/>
        </w:rPr>
        <w:t>(Exact name of registrant as specified in its charter)</w:t>
      </w:r>
    </w:p>
    <w:p>
      <w:pPr>
        <w:pStyle w:val="TextBody"/>
        <w:bidi w:val="0"/>
        <w:spacing w:before="0" w:after="0"/>
        <w:jc w:val="left"/>
        <w:rPr>
          <w:sz w:val="20"/>
        </w:rPr>
      </w:pPr>
      <w:r>
        <w:rPr>
          <w:sz w:val="20"/>
        </w:rPr>
      </w:r>
    </w:p>
    <w:tbl>
      <w:tblPr>
        <w:tblW w:w="8760" w:type="dxa"/>
        <w:jc w:val="left"/>
        <w:tblInd w:w="0" w:type="dxa"/>
        <w:tblLayout w:type="fixed"/>
        <w:tblCellMar>
          <w:top w:w="0" w:type="dxa"/>
          <w:left w:w="0" w:type="dxa"/>
          <w:bottom w:w="0" w:type="dxa"/>
          <w:right w:w="0" w:type="dxa"/>
        </w:tblCellMar>
      </w:tblPr>
      <w:tblGrid>
        <w:gridCol w:w="3680"/>
        <w:gridCol w:w="2195"/>
        <w:gridCol w:w="2885"/>
      </w:tblGrid>
      <w:tr>
        <w:trPr/>
        <w:tc>
          <w:tcPr>
            <w:tcW w:w="36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001-39317</w:t>
            </w:r>
          </w:p>
        </w:tc>
        <w:tc>
          <w:tcPr>
            <w:tcW w:w="28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36-3840979</w:t>
            </w:r>
          </w:p>
        </w:tc>
      </w:tr>
      <w:tr>
        <w:trPr/>
        <w:tc>
          <w:tcPr>
            <w:tcW w:w="368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88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sz w:val="20"/>
        </w:rPr>
      </w:pPr>
      <w:r>
        <w:rPr>
          <w:sz w:val="20"/>
        </w:rPr>
      </w:r>
    </w:p>
    <w:tbl>
      <w:tblPr>
        <w:tblW w:w="4150" w:type="dxa"/>
        <w:jc w:val="left"/>
        <w:tblInd w:w="0" w:type="dxa"/>
        <w:tblLayout w:type="fixed"/>
        <w:tblCellMar>
          <w:top w:w="0" w:type="dxa"/>
          <w:left w:w="0" w:type="dxa"/>
          <w:bottom w:w="0" w:type="dxa"/>
          <w:right w:w="0" w:type="dxa"/>
        </w:tblCellMar>
      </w:tblPr>
      <w:tblGrid>
        <w:gridCol w:w="3200"/>
        <w:gridCol w:w="60"/>
        <w:gridCol w:w="890"/>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5701 N. Pima Road</w:t>
            </w:r>
          </w:p>
        </w:tc>
        <w:tc>
          <w:tcPr>
            <w:tcW w:w="60" w:type="dxa"/>
            <w:tcBorders/>
            <w:vAlign w:val="center"/>
          </w:tcPr>
          <w:p>
            <w:pPr>
              <w:pStyle w:val="TableContents"/>
              <w:bidi w:val="0"/>
              <w:spacing w:before="0" w:after="0"/>
              <w:jc w:val="left"/>
              <w:rPr>
                <w:color w:val="000000"/>
              </w:rPr>
            </w:pPr>
            <w:r>
              <w:rPr>
                <w:color w:val="000000"/>
              </w:rPr>
              <w:t> </w:t>
            </w:r>
          </w:p>
        </w:tc>
        <w:tc>
          <w:tcPr>
            <w:tcW w:w="890" w:type="dxa"/>
            <w:vMerge w:val="restart"/>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85250</w:t>
            </w:r>
          </w:p>
        </w:tc>
      </w:tr>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Scottsdale, Arizona</w:t>
            </w:r>
          </w:p>
        </w:tc>
        <w:tc>
          <w:tcPr>
            <w:tcW w:w="60" w:type="dxa"/>
            <w:tcBorders/>
            <w:vAlign w:val="center"/>
          </w:tcPr>
          <w:p>
            <w:pPr>
              <w:pStyle w:val="TableContents"/>
              <w:bidi w:val="0"/>
              <w:spacing w:before="0" w:after="0"/>
              <w:jc w:val="left"/>
              <w:rPr>
                <w:color w:val="000000"/>
              </w:rPr>
            </w:pPr>
            <w:r>
              <w:rPr>
                <w:color w:val="000000"/>
              </w:rPr>
              <w:t> </w:t>
            </w:r>
          </w:p>
        </w:tc>
        <w:tc>
          <w:tcPr>
            <w:tcW w:w="890" w:type="dxa"/>
            <w:vMerge w:val="continue"/>
            <w:tcBorders/>
            <w:vAlign w:val="center"/>
          </w:tcPr>
          <w:p>
            <w:pPr>
              <w:pStyle w:val="Normal"/>
              <w:bidi w:val="0"/>
              <w:jc w:val="left"/>
              <w:rPr/>
            </w:pPr>
            <w:r>
              <w:rPr/>
            </w:r>
          </w:p>
        </w:tc>
      </w:tr>
      <w:tr>
        <w:trPr/>
        <w:tc>
          <w:tcPr>
            <w:tcW w:w="320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0"/>
              <w:jc w:val="left"/>
              <w:rPr>
                <w:color w:val="000000"/>
              </w:rPr>
            </w:pPr>
            <w:r>
              <w:rPr>
                <w:color w:val="000000"/>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(602) 244-6600</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180" w:right="0" w:hanging="18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180" w:right="0" w:hanging="18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180" w:right="0" w:hanging="18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8700" w:type="dxa"/>
        <w:jc w:val="left"/>
        <w:tblInd w:w="0" w:type="dxa"/>
        <w:tblLayout w:type="fixed"/>
        <w:tblCellMar>
          <w:top w:w="0" w:type="dxa"/>
          <w:left w:w="0" w:type="dxa"/>
          <w:bottom w:w="28" w:type="dxa"/>
          <w:right w:w="0" w:type="dxa"/>
        </w:tblCellMar>
      </w:tblPr>
      <w:tblGrid>
        <w:gridCol w:w="3395"/>
        <w:gridCol w:w="1610"/>
        <w:gridCol w:w="3695"/>
      </w:tblGrid>
      <w:tr>
        <w:trPr/>
        <w:tc>
          <w:tcPr>
            <w:tcW w:w="33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6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Symbol(s)</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3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$0.01 per share</w:t>
            </w:r>
          </w:p>
        </w:tc>
        <w:tc>
          <w:tcPr>
            <w:tcW w:w="16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ON</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previously announced, on June 25, 2026, ON Semiconductor Corporation (“</w:t>
      </w:r>
      <w:r>
        <w:rPr>
          <w:rFonts w:ascii="Times New Roman" w:hAnsi="Times New Roman"/>
          <w:color w:val="000000"/>
          <w:sz w:val="20"/>
          <w:u w:val="single"/>
          <w:shd w:fill="FFFFFF" w:val="clear"/>
        </w:rPr>
        <w:t>onsemi</w:t>
      </w:r>
      <w:r>
        <w:rPr>
          <w:rFonts w:ascii="Times New Roman" w:hAnsi="Times New Roman"/>
          <w:color w:val="000000"/>
          <w:sz w:val="20"/>
          <w:shd w:fill="FFFFFF" w:val="clear"/>
        </w:rPr>
        <w:t>”) entered into an Agreement and Plan of Reorganization (the “</w:t>
      </w:r>
      <w:r>
        <w:rPr>
          <w:rFonts w:ascii="Times New Roman" w:hAnsi="Times New Roman"/>
          <w:color w:val="000000"/>
          <w:sz w:val="20"/>
          <w:u w:val="single"/>
          <w:shd w:fill="FFFFFF" w:val="clear"/>
        </w:rPr>
        <w:t>Merger Agreement</w:t>
      </w:r>
      <w:r>
        <w:rPr>
          <w:rFonts w:ascii="Times New Roman" w:hAnsi="Times New Roman"/>
          <w:color w:val="000000"/>
          <w:sz w:val="20"/>
          <w:shd w:fill="FFFFFF" w:val="clear"/>
        </w:rPr>
        <w:t>”) with Sonic Acquisition Corp., a Delaware corporation and wholly owned subsidiary of onsemi (“</w:t>
      </w:r>
      <w:r>
        <w:rPr>
          <w:rFonts w:ascii="Times New Roman" w:hAnsi="Times New Roman"/>
          <w:color w:val="000000"/>
          <w:sz w:val="20"/>
          <w:u w:val="single"/>
          <w:shd w:fill="FFFFFF" w:val="clear"/>
        </w:rPr>
        <w:t>Merger Sub</w:t>
      </w:r>
      <w:r>
        <w:rPr>
          <w:rFonts w:ascii="Times New Roman" w:hAnsi="Times New Roman"/>
          <w:color w:val="000000"/>
          <w:sz w:val="20"/>
          <w:shd w:fill="FFFFFF" w:val="clear"/>
        </w:rPr>
        <w:t>”), and Synaptics Incorporated, a Delaware corporation (“</w:t>
      </w:r>
      <w:r>
        <w:rPr>
          <w:rFonts w:ascii="Times New Roman" w:hAnsi="Times New Roman"/>
          <w:color w:val="000000"/>
          <w:sz w:val="20"/>
          <w:u w:val="single"/>
          <w:shd w:fill="FFFFFF" w:val="clear"/>
        </w:rPr>
        <w:t>Synaptics</w:t>
      </w:r>
      <w:r>
        <w:rPr>
          <w:rFonts w:ascii="Times New Roman" w:hAnsi="Times New Roman"/>
          <w:color w:val="000000"/>
          <w:sz w:val="20"/>
          <w:shd w:fill="FFFFFF" w:val="clear"/>
        </w:rPr>
        <w:t>”). Pursuant to the Merger Agreement, and subject to the satisfaction or waiver of the conditions specified therein, Merger Sub will merge with and into Synaptics (the “</w:t>
      </w:r>
      <w:r>
        <w:rPr>
          <w:rFonts w:ascii="Times New Roman" w:hAnsi="Times New Roman"/>
          <w:color w:val="000000"/>
          <w:sz w:val="20"/>
          <w:u w:val="single"/>
          <w:shd w:fill="FFFFFF" w:val="clear"/>
        </w:rPr>
        <w:t>Merger</w:t>
      </w:r>
      <w:r>
        <w:rPr>
          <w:rFonts w:ascii="Times New Roman" w:hAnsi="Times New Roman"/>
          <w:color w:val="000000"/>
          <w:sz w:val="20"/>
          <w:shd w:fill="FFFFFF" w:val="clear"/>
        </w:rPr>
        <w:t xml:space="preserve">”), with Synaptics surviving the Merger as a wholly owned subsidiary of onsemi.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closing of the Merger is subject to customary closing conditions, including, among others, the expiration or early termination of the applicable waiting period under the Hart-Scott-Rodino Antitrust Improvements Act of 1976, as amended (the “</w:t>
      </w:r>
      <w:r>
        <w:rPr>
          <w:rFonts w:ascii="Times New Roman" w:hAnsi="Times New Roman"/>
          <w:color w:val="000000"/>
          <w:sz w:val="20"/>
          <w:u w:val="single"/>
          <w:shd w:fill="FFFFFF" w:val="clear"/>
        </w:rPr>
        <w:t>HSR Act</w:t>
      </w:r>
      <w:r>
        <w:rPr>
          <w:rFonts w:ascii="Times New Roman" w:hAnsi="Times New Roman"/>
          <w:color w:val="000000"/>
          <w:sz w:val="20"/>
          <w:shd w:fill="FFFFFF" w:val="clear"/>
        </w:rPr>
        <w:t>”). The parties’ HSR notifications were filed on July 17, 2026. On August 12, 2026, the Federal Trade Commission (the “</w:t>
      </w:r>
      <w:r>
        <w:rPr>
          <w:rFonts w:ascii="Times New Roman" w:hAnsi="Times New Roman"/>
          <w:color w:val="000000"/>
          <w:sz w:val="20"/>
          <w:u w:val="single"/>
          <w:shd w:fill="FFFFFF" w:val="clear"/>
        </w:rPr>
        <w:t>FTC</w:t>
      </w:r>
      <w:r>
        <w:rPr>
          <w:rFonts w:ascii="Times New Roman" w:hAnsi="Times New Roman"/>
          <w:color w:val="000000"/>
          <w:sz w:val="20"/>
          <w:shd w:fill="FFFFFF" w:val="clear"/>
        </w:rPr>
        <w:t>”) granted early termination of the waiting period under the HSR Act with respect to the Merger. The closing of the Merger remains subject to the satisfaction or waiver of the remaining closing conditions set forth in the Merger Agreement, including receipt of the required approval of Synaptics stockholders and certain other regulatory approvals or clearances. The parties continue to expect the Merger to close in mid-2027, subject to the satisfaction or waiver of such other closing conditions.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Cautionary Note Regarding 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communication relates to a proposed business combination transaction between Synaptics and onsemi.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addition, actual results are subject to other risks and uncertainties that relate more broadly to Synaptics’ overall business, including those more fully described in Synaptics’ filings with the SEC including its annual report on Form 10-K for the fiscal year ended June 27, 2026,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No Offer or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Important Additional Information about the Transaction and Where To Find 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You may obtain copies of all documents filed with the SEC regarding this transaction, free of charge, at the SEC’s website (www.sec.gov). In addition, investors and stockholders will be able to obtain free copies of the proxy statement/prospectus and other documents filed with the SEC by the parties on Synaptics Investor Relations at https://investor.synaptics.com/ (for documents filed with the SEC by Synaptics) or onsemi Investor Relations at https://investor.onsemi.com/ (for documents filed with the SEC by onsemi).</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Participants in the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September 16, 2025.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https://www.sec.gov/edgar/browse/?CIK=817720&amp;owner=exclude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Registration Statement on Form S-4 when it becomes available.</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6540" w:type="dxa"/>
        <w:jc w:val="left"/>
        <w:tblInd w:w="0" w:type="dxa"/>
        <w:tblLayout w:type="fixed"/>
        <w:tblCellMar>
          <w:top w:w="0" w:type="dxa"/>
          <w:left w:w="0" w:type="dxa"/>
          <w:bottom w:w="0" w:type="dxa"/>
          <w:right w:w="0" w:type="dxa"/>
        </w:tblCellMar>
      </w:tblPr>
      <w:tblGrid>
        <w:gridCol w:w="1355"/>
        <w:gridCol w:w="545"/>
        <w:gridCol w:w="4640"/>
      </w:tblGrid>
      <w:tr>
        <w:trPr/>
        <w:tc>
          <w:tcPr>
            <w:tcW w:w="135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color w:val="000000"/>
              </w:rPr>
            </w:pPr>
            <w:r>
              <w:rPr>
                <w:color w:val="000000"/>
              </w:rPr>
              <w:t> </w:t>
            </w:r>
          </w:p>
        </w:tc>
        <w:tc>
          <w:tcPr>
            <w:tcW w:w="46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ON Semiconductor Corporation</w:t>
            </w:r>
          </w:p>
        </w:tc>
      </w:tr>
      <w:tr>
        <w:trPr/>
        <w:tc>
          <w:tcPr>
            <w:tcW w:w="135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color w:val="000000"/>
              </w:rPr>
            </w:pPr>
            <w:r>
              <w:rPr>
                <w:color w:val="000000"/>
              </w:rPr>
              <w:t> </w:t>
            </w:r>
          </w:p>
        </w:tc>
        <w:tc>
          <w:tcPr>
            <w:tcW w:w="4640" w:type="dxa"/>
            <w:tcBorders/>
            <w:vAlign w:val="center"/>
          </w:tcPr>
          <w:p>
            <w:pPr>
              <w:pStyle w:val="TableContents"/>
              <w:bidi w:val="0"/>
              <w:spacing w:before="0" w:after="0"/>
              <w:jc w:val="left"/>
              <w:rPr>
                <w:color w:val="000000"/>
              </w:rPr>
            </w:pPr>
            <w:r>
              <w:rPr>
                <w:color w:val="000000"/>
              </w:rPr>
              <w:t> </w:t>
            </w:r>
          </w:p>
        </w:tc>
      </w:tr>
      <w:tr>
        <w:trPr/>
        <w:tc>
          <w:tcPr>
            <w:tcW w:w="135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August 13, 2026</w:t>
            </w:r>
          </w:p>
        </w:tc>
        <w:tc>
          <w:tcPr>
            <w:tcW w:w="54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By:</w:t>
            </w:r>
          </w:p>
        </w:tc>
        <w:tc>
          <w:tcPr>
            <w:tcW w:w="46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/s/ Paul Dutton</w:t>
            </w:r>
          </w:p>
        </w:tc>
      </w:tr>
      <w:tr>
        <w:trPr/>
        <w:tc>
          <w:tcPr>
            <w:tcW w:w="135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Name:</w:t>
            </w:r>
          </w:p>
        </w:tc>
        <w:tc>
          <w:tcPr>
            <w:tcW w:w="464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Paul Dutton</w:t>
            </w:r>
          </w:p>
        </w:tc>
      </w:tr>
      <w:tr>
        <w:trPr/>
        <w:tc>
          <w:tcPr>
            <w:tcW w:w="135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Title:</w:t>
            </w:r>
          </w:p>
        </w:tc>
        <w:tc>
          <w:tcPr>
            <w:tcW w:w="464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Senior Vice President, Chief Legal Officer and Secretary</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1926</Words>
  <Characters>11044</Characters>
  <CharactersWithSpaces>12923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